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609E" w14:textId="77777777" w:rsidR="00D55BC0" w:rsidRPr="006D4822" w:rsidRDefault="00324557" w:rsidP="00E5362D">
      <w:pPr>
        <w:autoSpaceDE w:val="0"/>
        <w:snapToGrid w:val="0"/>
        <w:spacing w:line="240" w:lineRule="atLeast"/>
        <w:jc w:val="center"/>
      </w:pPr>
      <w:proofErr w:type="gramStart"/>
      <w:r w:rsidRPr="006D4822">
        <w:rPr>
          <w:rFonts w:eastAsia="標楷體"/>
          <w:b/>
          <w:bCs/>
          <w:sz w:val="28"/>
          <w:szCs w:val="28"/>
        </w:rPr>
        <w:t>淨零排放</w:t>
      </w:r>
      <w:proofErr w:type="gramEnd"/>
      <w:r w:rsidRPr="006D4822">
        <w:rPr>
          <w:rFonts w:eastAsia="標楷體"/>
          <w:b/>
          <w:bCs/>
          <w:sz w:val="28"/>
          <w:szCs w:val="28"/>
        </w:rPr>
        <w:t>風潮下，國際公正轉型的推動趨勢</w:t>
      </w:r>
    </w:p>
    <w:p w14:paraId="173A37D0" w14:textId="77777777" w:rsidR="00D55BC0" w:rsidRPr="006D4822" w:rsidRDefault="00324557" w:rsidP="00E5362D">
      <w:pPr>
        <w:spacing w:line="240" w:lineRule="atLeast"/>
        <w:ind w:firstLine="480"/>
        <w:jc w:val="both"/>
      </w:pPr>
      <w:r w:rsidRPr="006D4822">
        <w:rPr>
          <w:rFonts w:eastAsia="標楷體"/>
        </w:rPr>
        <w:t>全球暖化與氣候變遷已經逐漸改變地球生態，對世界產生巨大威脅。為了避免氣候災難，各國於</w:t>
      </w:r>
      <w:r w:rsidRPr="006D4822">
        <w:rPr>
          <w:rFonts w:eastAsia="標楷體"/>
        </w:rPr>
        <w:t>2015</w:t>
      </w:r>
      <w:r w:rsidRPr="006D4822">
        <w:rPr>
          <w:rFonts w:eastAsia="標楷體"/>
        </w:rPr>
        <w:t>年簽署《巴黎協定》</w:t>
      </w:r>
      <w:r w:rsidRPr="006D4822">
        <w:rPr>
          <w:rFonts w:eastAsia="標楷體"/>
        </w:rPr>
        <w:t>(the Paris Agreement)</w:t>
      </w:r>
      <w:r w:rsidRPr="006D4822">
        <w:rPr>
          <w:rFonts w:eastAsia="標楷體"/>
        </w:rPr>
        <w:t>，訂下限制升溫</w:t>
      </w:r>
      <w:r w:rsidRPr="006D4822">
        <w:rPr>
          <w:rFonts w:eastAsia="標楷體"/>
        </w:rPr>
        <w:t>2°C</w:t>
      </w:r>
      <w:proofErr w:type="gramStart"/>
      <w:r w:rsidRPr="006D4822">
        <w:rPr>
          <w:rFonts w:eastAsia="標楷體"/>
        </w:rPr>
        <w:t>以內</w:t>
      </w:r>
      <w:r w:rsidRPr="006D4822">
        <w:rPr>
          <w:rFonts w:eastAsia="標楷體"/>
        </w:rPr>
        <w:t>(</w:t>
      </w:r>
      <w:proofErr w:type="gramEnd"/>
      <w:r w:rsidRPr="006D4822">
        <w:rPr>
          <w:rFonts w:eastAsia="標楷體"/>
        </w:rPr>
        <w:t>最好是</w:t>
      </w:r>
      <w:r w:rsidRPr="006D4822">
        <w:rPr>
          <w:rFonts w:eastAsia="標楷體"/>
        </w:rPr>
        <w:t>1.5°C)</w:t>
      </w:r>
      <w:r w:rsidRPr="006D4822">
        <w:rPr>
          <w:rFonts w:eastAsia="標楷體"/>
        </w:rPr>
        <w:t>目標，而後</w:t>
      </w:r>
      <w:r w:rsidRPr="006D4822">
        <w:rPr>
          <w:rFonts w:eastAsia="標楷體"/>
        </w:rPr>
        <w:t>2019</w:t>
      </w:r>
      <w:r w:rsidRPr="006D4822">
        <w:rPr>
          <w:rFonts w:eastAsia="標楷體"/>
        </w:rPr>
        <w:t>年聯合國提出「</w:t>
      </w:r>
      <w:proofErr w:type="gramStart"/>
      <w:r w:rsidRPr="006D4822">
        <w:rPr>
          <w:rFonts w:eastAsia="標楷體"/>
        </w:rPr>
        <w:t>奔向淨零</w:t>
      </w:r>
      <w:proofErr w:type="gramEnd"/>
      <w:r w:rsidRPr="006D4822">
        <w:rPr>
          <w:rFonts w:eastAsia="標楷體"/>
        </w:rPr>
        <w:t>(Race to Zero)</w:t>
      </w:r>
      <w:r w:rsidRPr="006D4822">
        <w:rPr>
          <w:rFonts w:eastAsia="標楷體"/>
        </w:rPr>
        <w:t>」倡議，號召全球共同在</w:t>
      </w:r>
      <w:r w:rsidRPr="006D4822">
        <w:rPr>
          <w:rFonts w:eastAsia="標楷體"/>
        </w:rPr>
        <w:t>2030</w:t>
      </w:r>
      <w:r w:rsidRPr="006D4822">
        <w:rPr>
          <w:rFonts w:eastAsia="標楷體"/>
        </w:rPr>
        <w:t>年達成碳排放減半、</w:t>
      </w:r>
      <w:r w:rsidRPr="006D4822">
        <w:rPr>
          <w:rFonts w:eastAsia="標楷體"/>
        </w:rPr>
        <w:t>2050</w:t>
      </w:r>
      <w:r w:rsidRPr="006D4822">
        <w:rPr>
          <w:rFonts w:eastAsia="標楷體"/>
        </w:rPr>
        <w:t>年</w:t>
      </w:r>
      <w:proofErr w:type="gramStart"/>
      <w:r w:rsidRPr="006D4822">
        <w:rPr>
          <w:rFonts w:eastAsia="標楷體"/>
        </w:rPr>
        <w:t>達到淨零排放</w:t>
      </w:r>
      <w:proofErr w:type="gramEnd"/>
      <w:r w:rsidRPr="006D4822">
        <w:rPr>
          <w:rFonts w:eastAsia="標楷體"/>
        </w:rPr>
        <w:t>的目標。當各國致力</w:t>
      </w:r>
      <w:proofErr w:type="gramStart"/>
      <w:r w:rsidRPr="006D4822">
        <w:rPr>
          <w:rFonts w:eastAsia="標楷體"/>
        </w:rPr>
        <w:t>追求淨零排放</w:t>
      </w:r>
      <w:proofErr w:type="gramEnd"/>
      <w:r w:rsidRPr="006D4822">
        <w:rPr>
          <w:rFonts w:eastAsia="標楷體"/>
        </w:rPr>
        <w:t>的同時，如何對受影響的產業或族群提供適當的轉型配套措施，亦是政策制定上的重要任務。</w:t>
      </w:r>
    </w:p>
    <w:p w14:paraId="2F7BD2B3" w14:textId="77777777" w:rsidR="00D55BC0" w:rsidRPr="006D4822" w:rsidRDefault="00324557" w:rsidP="00E5362D">
      <w:pPr>
        <w:spacing w:line="240" w:lineRule="atLeast"/>
        <w:ind w:firstLine="482"/>
        <w:jc w:val="both"/>
      </w:pPr>
      <w:r w:rsidRPr="006D4822">
        <w:rPr>
          <w:rFonts w:eastAsia="標楷體"/>
        </w:rPr>
        <w:t>國發會在今</w:t>
      </w:r>
      <w:r w:rsidRPr="006D4822">
        <w:rPr>
          <w:rFonts w:eastAsia="標楷體"/>
        </w:rPr>
        <w:t>(111)</w:t>
      </w:r>
      <w:r w:rsidRPr="006D4822">
        <w:rPr>
          <w:rFonts w:eastAsia="標楷體"/>
        </w:rPr>
        <w:t>年</w:t>
      </w:r>
      <w:r w:rsidRPr="006D4822">
        <w:rPr>
          <w:rFonts w:eastAsia="標楷體"/>
        </w:rPr>
        <w:t>3</w:t>
      </w:r>
      <w:r w:rsidRPr="006D4822">
        <w:rPr>
          <w:rFonts w:eastAsia="標楷體"/>
        </w:rPr>
        <w:t>月提出「臺灣</w:t>
      </w:r>
      <w:r w:rsidRPr="006D4822">
        <w:rPr>
          <w:rFonts w:eastAsia="標楷體"/>
        </w:rPr>
        <w:t>2050</w:t>
      </w:r>
      <w:proofErr w:type="gramStart"/>
      <w:r w:rsidRPr="006D4822">
        <w:rPr>
          <w:rFonts w:eastAsia="標楷體"/>
        </w:rPr>
        <w:t>淨零排放</w:t>
      </w:r>
      <w:proofErr w:type="gramEnd"/>
      <w:r w:rsidRPr="006D4822">
        <w:rPr>
          <w:rFonts w:eastAsia="標楷體"/>
        </w:rPr>
        <w:t>路徑及策略總說明」，揭</w:t>
      </w:r>
      <w:proofErr w:type="gramStart"/>
      <w:r w:rsidRPr="006D4822">
        <w:rPr>
          <w:rFonts w:eastAsia="標楷體"/>
        </w:rPr>
        <w:t>櫫</w:t>
      </w:r>
      <w:proofErr w:type="gramEnd"/>
      <w:r w:rsidRPr="006D4822">
        <w:rPr>
          <w:rFonts w:eastAsia="標楷體"/>
        </w:rPr>
        <w:t>科技研發及氣候法制的基礎環境規劃，也將公正轉型納</w:t>
      </w:r>
      <w:proofErr w:type="gramStart"/>
      <w:r w:rsidRPr="006D4822">
        <w:rPr>
          <w:rFonts w:eastAsia="標楷體"/>
        </w:rPr>
        <w:t>為淨零轉型</w:t>
      </w:r>
      <w:proofErr w:type="gramEnd"/>
      <w:r w:rsidRPr="006D4822">
        <w:rPr>
          <w:rFonts w:eastAsia="標楷體"/>
        </w:rPr>
        <w:t>十二項關鍵戰略之</w:t>
      </w:r>
      <w:proofErr w:type="gramStart"/>
      <w:r w:rsidRPr="006D4822">
        <w:rPr>
          <w:rFonts w:eastAsia="標楷體"/>
        </w:rPr>
        <w:t>一</w:t>
      </w:r>
      <w:proofErr w:type="gramEnd"/>
      <w:r w:rsidRPr="006D4822">
        <w:rPr>
          <w:rFonts w:eastAsia="標楷體"/>
        </w:rPr>
        <w:t>。其實，公正轉型並非全新概念，在國際上已經成形多年，而世界各國也多有相關政策措施；透過觀摩其作法及蒐集相關經驗，亦可做為我國政策制定的參考。</w:t>
      </w:r>
    </w:p>
    <w:p w14:paraId="3C4EE6FB" w14:textId="77777777" w:rsidR="00D55BC0" w:rsidRPr="006D4822" w:rsidRDefault="00324557" w:rsidP="00E5362D">
      <w:pPr>
        <w:pStyle w:val="aa"/>
        <w:numPr>
          <w:ilvl w:val="0"/>
          <w:numId w:val="1"/>
        </w:numPr>
        <w:autoSpaceDE w:val="0"/>
        <w:snapToGrid w:val="0"/>
        <w:spacing w:line="240" w:lineRule="atLeast"/>
        <w:jc w:val="both"/>
        <w:rPr>
          <w:rFonts w:eastAsia="標楷體"/>
          <w:b/>
        </w:rPr>
      </w:pPr>
      <w:r w:rsidRPr="006D4822">
        <w:rPr>
          <w:rFonts w:eastAsia="標楷體"/>
          <w:b/>
        </w:rPr>
        <w:t>公正轉型起源</w:t>
      </w:r>
    </w:p>
    <w:p w14:paraId="3A000FBD" w14:textId="77777777" w:rsidR="00D55BC0" w:rsidRPr="006D4822" w:rsidRDefault="00324557" w:rsidP="00324557">
      <w:pPr>
        <w:spacing w:line="240" w:lineRule="atLeast"/>
        <w:ind w:firstLine="567"/>
        <w:jc w:val="both"/>
      </w:pPr>
      <w:r w:rsidRPr="006D4822">
        <w:rPr>
          <w:rFonts w:eastAsia="標楷體"/>
        </w:rPr>
        <w:t>Just Transition Research Collaborative(2018)</w:t>
      </w:r>
      <w:r w:rsidRPr="006D4822">
        <w:rPr>
          <w:rFonts w:eastAsia="標楷體"/>
        </w:rPr>
        <w:t>追溯公正轉型的發展，最早起源於</w:t>
      </w:r>
      <w:proofErr w:type="gramStart"/>
      <w:r w:rsidRPr="006D4822">
        <w:rPr>
          <w:rFonts w:eastAsia="標楷體"/>
        </w:rPr>
        <w:t>1970</w:t>
      </w:r>
      <w:proofErr w:type="gramEnd"/>
      <w:r w:rsidRPr="006D4822">
        <w:rPr>
          <w:rFonts w:eastAsia="標楷體"/>
        </w:rPr>
        <w:t>年代美國工會發起的罷工運動，由</w:t>
      </w:r>
      <w:r w:rsidRPr="006D4822">
        <w:rPr>
          <w:rFonts w:eastAsia="標楷體"/>
        </w:rPr>
        <w:t xml:space="preserve">Tony </w:t>
      </w:r>
      <w:proofErr w:type="spellStart"/>
      <w:r w:rsidRPr="006D4822">
        <w:rPr>
          <w:rFonts w:eastAsia="標楷體"/>
        </w:rPr>
        <w:t>Mazzocchi</w:t>
      </w:r>
      <w:proofErr w:type="spellEnd"/>
      <w:r w:rsidRPr="006D4822">
        <w:rPr>
          <w:rFonts w:eastAsia="標楷體"/>
        </w:rPr>
        <w:t>代表的</w:t>
      </w:r>
      <w:r w:rsidRPr="006D4822">
        <w:rPr>
          <w:rFonts w:eastAsia="標楷體"/>
        </w:rPr>
        <w:t>OCAW(the Oil, Chemical and Atomic Workers</w:t>
      </w:r>
      <w:proofErr w:type="gramStart"/>
      <w:r w:rsidRPr="006D4822">
        <w:rPr>
          <w:rFonts w:eastAsia="標楷體"/>
        </w:rPr>
        <w:t>’</w:t>
      </w:r>
      <w:proofErr w:type="gramEnd"/>
      <w:r w:rsidRPr="006D4822">
        <w:rPr>
          <w:rFonts w:eastAsia="標楷體"/>
        </w:rPr>
        <w:t xml:space="preserve"> Union)</w:t>
      </w:r>
      <w:r w:rsidRPr="006D4822">
        <w:rPr>
          <w:rFonts w:eastAsia="標楷體"/>
        </w:rPr>
        <w:t>工會，有</w:t>
      </w:r>
      <w:proofErr w:type="gramStart"/>
      <w:r w:rsidRPr="006D4822">
        <w:rPr>
          <w:rFonts w:eastAsia="標楷體"/>
        </w:rPr>
        <w:t>鑑</w:t>
      </w:r>
      <w:proofErr w:type="gramEnd"/>
      <w:r w:rsidRPr="006D4822">
        <w:rPr>
          <w:rFonts w:eastAsia="標楷體"/>
        </w:rPr>
        <w:t>於環境污染及勞工健康問題，挺身而出爭取改善勞動條件。其抱持著解決勞動問題</w:t>
      </w:r>
      <w:proofErr w:type="gramStart"/>
      <w:r w:rsidRPr="006D4822">
        <w:rPr>
          <w:rFonts w:eastAsia="標楷體"/>
        </w:rPr>
        <w:t>不</w:t>
      </w:r>
      <w:proofErr w:type="gramEnd"/>
      <w:r w:rsidRPr="006D4822">
        <w:rPr>
          <w:rFonts w:eastAsia="標楷體"/>
        </w:rPr>
        <w:t>必然減損社區及企業利益之理念，促使政府面對環境汙染挑戰同時須顧及受影響勞工家計，提供新工作機會。</w:t>
      </w:r>
      <w:r w:rsidRPr="006D4822">
        <w:rPr>
          <w:rFonts w:eastAsia="標楷體"/>
        </w:rPr>
        <w:t>1995</w:t>
      </w:r>
      <w:r w:rsidRPr="006D4822">
        <w:rPr>
          <w:rFonts w:eastAsia="標楷體"/>
        </w:rPr>
        <w:t>年公正轉型</w:t>
      </w:r>
      <w:r w:rsidRPr="006D4822">
        <w:rPr>
          <w:rFonts w:eastAsia="標楷體"/>
        </w:rPr>
        <w:t>(just transition)</w:t>
      </w:r>
      <w:r w:rsidRPr="006D4822">
        <w:rPr>
          <w:rFonts w:eastAsia="標楷體"/>
        </w:rPr>
        <w:t>一詞首度出現，且經過</w:t>
      </w:r>
      <w:proofErr w:type="gramStart"/>
      <w:r w:rsidRPr="006D4822">
        <w:rPr>
          <w:rFonts w:eastAsia="標楷體"/>
        </w:rPr>
        <w:t>1990</w:t>
      </w:r>
      <w:proofErr w:type="gramEnd"/>
      <w:r w:rsidRPr="006D4822">
        <w:rPr>
          <w:rFonts w:eastAsia="標楷體"/>
        </w:rPr>
        <w:t>年代許多相關非政府組織形成與推動，讓勞工和社區居民願意共同合作面對社會議題，於是建立了勞工權益和環境保護的關聯性。</w:t>
      </w:r>
    </w:p>
    <w:p w14:paraId="2F68965C" w14:textId="77777777" w:rsidR="00D55BC0" w:rsidRPr="006D4822" w:rsidRDefault="00324557" w:rsidP="00324557">
      <w:pPr>
        <w:spacing w:line="240" w:lineRule="atLeast"/>
        <w:ind w:firstLine="567"/>
        <w:jc w:val="both"/>
      </w:pPr>
      <w:r w:rsidRPr="006D4822">
        <w:rPr>
          <w:rFonts w:eastAsia="標楷體"/>
        </w:rPr>
        <w:t>2000</w:t>
      </w:r>
      <w:r w:rsidRPr="006D4822">
        <w:rPr>
          <w:rFonts w:eastAsia="標楷體"/>
        </w:rPr>
        <w:t>年後，公正轉型逐漸擴散並成為各國勞工團體關心的焦點，被納入環境變化議題中的社會和</w:t>
      </w:r>
      <w:proofErr w:type="gramStart"/>
      <w:r w:rsidRPr="006D4822">
        <w:rPr>
          <w:rFonts w:eastAsia="標楷體"/>
        </w:rPr>
        <w:t>職安</w:t>
      </w:r>
      <w:proofErr w:type="gramEnd"/>
      <w:r w:rsidRPr="006D4822">
        <w:rPr>
          <w:rFonts w:eastAsia="標楷體"/>
        </w:rPr>
        <w:t>衛面向。隨著國際大型勞工團體成立並參加各種聯合國層級永續發展及氣候變遷會議，公正轉型已成為不可或缺的正式議題。</w:t>
      </w:r>
    </w:p>
    <w:p w14:paraId="5A5D12F3" w14:textId="77777777" w:rsidR="00D55BC0" w:rsidRPr="006D4822" w:rsidRDefault="00324557" w:rsidP="00E5362D">
      <w:pPr>
        <w:pStyle w:val="aa"/>
        <w:numPr>
          <w:ilvl w:val="0"/>
          <w:numId w:val="1"/>
        </w:numPr>
        <w:autoSpaceDE w:val="0"/>
        <w:snapToGrid w:val="0"/>
        <w:spacing w:line="240" w:lineRule="atLeast"/>
        <w:jc w:val="both"/>
      </w:pPr>
      <w:r w:rsidRPr="006D4822">
        <w:rPr>
          <w:rFonts w:eastAsia="標楷體"/>
          <w:b/>
          <w:bCs/>
        </w:rPr>
        <w:t>何謂公正轉型</w:t>
      </w:r>
    </w:p>
    <w:p w14:paraId="3FACD1B7" w14:textId="77777777" w:rsidR="00D55BC0" w:rsidRPr="006D4822" w:rsidRDefault="00324557" w:rsidP="00E5362D">
      <w:pPr>
        <w:pStyle w:val="aa"/>
        <w:numPr>
          <w:ilvl w:val="0"/>
          <w:numId w:val="2"/>
        </w:numPr>
        <w:spacing w:line="240" w:lineRule="atLeast"/>
        <w:jc w:val="both"/>
        <w:rPr>
          <w:rFonts w:eastAsia="標楷體"/>
        </w:rPr>
      </w:pPr>
      <w:r w:rsidRPr="006D4822">
        <w:rPr>
          <w:rFonts w:eastAsia="標楷體"/>
        </w:rPr>
        <w:t>重要意涵</w:t>
      </w:r>
    </w:p>
    <w:p w14:paraId="63F6205C" w14:textId="77777777" w:rsidR="00D55BC0" w:rsidRPr="006D4822" w:rsidRDefault="00324557" w:rsidP="00E5362D">
      <w:pPr>
        <w:spacing w:line="240" w:lineRule="atLeast"/>
        <w:ind w:left="706" w:firstLine="504"/>
        <w:jc w:val="both"/>
      </w:pPr>
      <w:r w:rsidRPr="006D4822">
        <w:rPr>
          <w:rFonts w:eastAsia="標楷體"/>
        </w:rPr>
        <w:t>儘管不同非政府組織在提倡公正轉型時可能涵蓋性別</w:t>
      </w:r>
      <w:r w:rsidRPr="006D4822">
        <w:rPr>
          <w:rFonts w:eastAsia="標楷體"/>
        </w:rPr>
        <w:t>(gender)</w:t>
      </w:r>
      <w:r w:rsidRPr="006D4822">
        <w:rPr>
          <w:rFonts w:eastAsia="標楷體"/>
        </w:rPr>
        <w:t>、文化</w:t>
      </w:r>
      <w:r w:rsidRPr="006D4822">
        <w:rPr>
          <w:rFonts w:eastAsia="標楷體"/>
        </w:rPr>
        <w:t>(culture)</w:t>
      </w:r>
      <w:r w:rsidRPr="006D4822">
        <w:rPr>
          <w:rFonts w:eastAsia="標楷體"/>
        </w:rPr>
        <w:t>、種族</w:t>
      </w:r>
      <w:r w:rsidRPr="006D4822">
        <w:rPr>
          <w:rFonts w:eastAsia="標楷體"/>
        </w:rPr>
        <w:t>(race)</w:t>
      </w:r>
      <w:r w:rsidRPr="006D4822">
        <w:rPr>
          <w:rFonts w:eastAsia="標楷體"/>
        </w:rPr>
        <w:t>等各種領域，最重要還是根基於勞工</w:t>
      </w:r>
      <w:r w:rsidRPr="006D4822">
        <w:rPr>
          <w:rFonts w:eastAsia="標楷體"/>
        </w:rPr>
        <w:t>(labor)</w:t>
      </w:r>
      <w:r w:rsidRPr="006D4822">
        <w:rPr>
          <w:rFonts w:eastAsia="標楷體"/>
        </w:rPr>
        <w:t>領域議題。只是過去全球經濟的榮景，主要都是</w:t>
      </w:r>
      <w:proofErr w:type="gramStart"/>
      <w:r w:rsidRPr="006D4822">
        <w:rPr>
          <w:rFonts w:eastAsia="標楷體"/>
        </w:rPr>
        <w:t>建立在碳排放</w:t>
      </w:r>
      <w:proofErr w:type="gramEnd"/>
      <w:r w:rsidRPr="006D4822">
        <w:rPr>
          <w:rFonts w:eastAsia="標楷體"/>
        </w:rPr>
        <w:t>密集的耗能產業上，隨著公正轉型被納入</w:t>
      </w:r>
      <w:r w:rsidRPr="006D4822">
        <w:rPr>
          <w:rFonts w:eastAsia="標楷體"/>
        </w:rPr>
        <w:t>2015</w:t>
      </w:r>
      <w:r w:rsidRPr="006D4822">
        <w:rPr>
          <w:rFonts w:eastAsia="標楷體"/>
        </w:rPr>
        <w:t>年巴黎協議的序言，大家</w:t>
      </w:r>
      <w:proofErr w:type="gramStart"/>
      <w:r w:rsidRPr="006D4822">
        <w:rPr>
          <w:rFonts w:eastAsia="標楷體"/>
        </w:rPr>
        <w:t>意識到淨零排放</w:t>
      </w:r>
      <w:proofErr w:type="gramEnd"/>
      <w:r w:rsidRPr="006D4822">
        <w:rPr>
          <w:rFonts w:eastAsia="標楷體"/>
        </w:rPr>
        <w:t>的重要性，這些產業的從業人員既不應該被忽視，也不應被迫在永續環境和工作收入之間做出抉擇，如何</w:t>
      </w:r>
      <w:proofErr w:type="gramStart"/>
      <w:r w:rsidRPr="006D4822">
        <w:rPr>
          <w:rFonts w:eastAsia="標楷體"/>
        </w:rPr>
        <w:t>於淨零</w:t>
      </w:r>
      <w:proofErr w:type="gramEnd"/>
      <w:r w:rsidRPr="006D4822">
        <w:rPr>
          <w:rFonts w:eastAsia="標楷體"/>
        </w:rPr>
        <w:t>排放目標下也兼顧公正轉型，逐漸成為普</w:t>
      </w:r>
      <w:proofErr w:type="gramStart"/>
      <w:r w:rsidRPr="006D4822">
        <w:rPr>
          <w:rFonts w:eastAsia="標楷體"/>
        </w:rPr>
        <w:t>世</w:t>
      </w:r>
      <w:proofErr w:type="gramEnd"/>
      <w:r w:rsidRPr="006D4822">
        <w:rPr>
          <w:rFonts w:eastAsia="標楷體"/>
        </w:rPr>
        <w:t>重視的價值。</w:t>
      </w:r>
    </w:p>
    <w:p w14:paraId="7444632D" w14:textId="77777777" w:rsidR="00D55BC0" w:rsidRPr="006D4822" w:rsidRDefault="00324557" w:rsidP="00E5362D">
      <w:pPr>
        <w:spacing w:line="240" w:lineRule="atLeast"/>
        <w:ind w:left="706" w:firstLine="504"/>
        <w:jc w:val="both"/>
      </w:pPr>
      <w:r w:rsidRPr="006D4822">
        <w:rPr>
          <w:rFonts w:eastAsia="標楷體"/>
        </w:rPr>
        <w:t>國際組織</w:t>
      </w:r>
      <w:r w:rsidRPr="006D4822">
        <w:rPr>
          <w:rFonts w:eastAsia="標楷體"/>
        </w:rPr>
        <w:t xml:space="preserve">The </w:t>
      </w:r>
      <w:proofErr w:type="spellStart"/>
      <w:r w:rsidRPr="006D4822">
        <w:rPr>
          <w:rFonts w:eastAsia="標楷體"/>
        </w:rPr>
        <w:t>BlueGreen</w:t>
      </w:r>
      <w:proofErr w:type="spellEnd"/>
      <w:r w:rsidRPr="006D4822">
        <w:rPr>
          <w:rFonts w:eastAsia="標楷體"/>
        </w:rPr>
        <w:t xml:space="preserve"> Alliance</w:t>
      </w:r>
      <w:r w:rsidRPr="006D4822">
        <w:rPr>
          <w:rFonts w:eastAsia="標楷體"/>
        </w:rPr>
        <w:t>認為，若要推動再生能源成為經濟發展的核心，需要重新盤點政府政策、可用資源並重新安排各項推動優先順序，以發展</w:t>
      </w:r>
      <w:proofErr w:type="gramStart"/>
      <w:r w:rsidRPr="006D4822">
        <w:rPr>
          <w:rFonts w:eastAsia="標楷體"/>
        </w:rPr>
        <w:t>低碳或無</w:t>
      </w:r>
      <w:proofErr w:type="gramEnd"/>
      <w:r w:rsidRPr="006D4822">
        <w:rPr>
          <w:rFonts w:eastAsia="標楷體"/>
        </w:rPr>
        <w:t>碳產業</w:t>
      </w:r>
      <w:r w:rsidRPr="006D4822">
        <w:rPr>
          <w:rFonts w:eastAsia="標楷體"/>
        </w:rPr>
        <w:t>(</w:t>
      </w:r>
      <w:r w:rsidRPr="006D4822">
        <w:rPr>
          <w:rFonts w:eastAsia="標楷體"/>
        </w:rPr>
        <w:t>包含提升能源效率、碳捕捉</w:t>
      </w:r>
      <w:r w:rsidRPr="006D4822">
        <w:rPr>
          <w:rFonts w:eastAsia="標楷體"/>
        </w:rPr>
        <w:t>/</w:t>
      </w:r>
      <w:r w:rsidRPr="006D4822">
        <w:rPr>
          <w:rFonts w:eastAsia="標楷體"/>
        </w:rPr>
        <w:t>封存等科技應用</w:t>
      </w:r>
      <w:r w:rsidRPr="006D4822">
        <w:rPr>
          <w:rFonts w:eastAsia="標楷體"/>
        </w:rPr>
        <w:t>)</w:t>
      </w:r>
      <w:r w:rsidRPr="006D4822">
        <w:rPr>
          <w:rFonts w:eastAsia="標楷體"/>
        </w:rPr>
        <w:t>，為家戶創造永續工作，並確保健康、安全無虞的生活環境。</w:t>
      </w:r>
    </w:p>
    <w:p w14:paraId="7E9DBBEA" w14:textId="77777777" w:rsidR="00D55BC0" w:rsidRPr="006D4822" w:rsidRDefault="00324557" w:rsidP="00E5362D">
      <w:pPr>
        <w:spacing w:line="240" w:lineRule="atLeast"/>
        <w:ind w:left="706" w:firstLine="504"/>
        <w:jc w:val="both"/>
      </w:pPr>
      <w:r w:rsidRPr="006D4822">
        <w:rPr>
          <w:rFonts w:eastAsia="標楷體"/>
        </w:rPr>
        <w:t>而根據國際勞工聯盟</w:t>
      </w:r>
      <w:r w:rsidRPr="006D4822">
        <w:rPr>
          <w:rFonts w:eastAsia="標楷體"/>
        </w:rPr>
        <w:t xml:space="preserve">(International </w:t>
      </w:r>
      <w:proofErr w:type="spellStart"/>
      <w:r w:rsidRPr="006D4822">
        <w:rPr>
          <w:rFonts w:eastAsia="標楷體"/>
        </w:rPr>
        <w:t>Labour</w:t>
      </w:r>
      <w:proofErr w:type="spellEnd"/>
      <w:r w:rsidRPr="006D4822">
        <w:rPr>
          <w:rFonts w:eastAsia="標楷體"/>
        </w:rPr>
        <w:t xml:space="preserve"> Organization, ILO)</w:t>
      </w:r>
      <w:r w:rsidRPr="006D4822">
        <w:rPr>
          <w:rFonts w:eastAsia="標楷體"/>
        </w:rPr>
        <w:t>的觀點，公正轉型的概念並非僅只是氣候政策的附加項目</w:t>
      </w:r>
      <w:r w:rsidRPr="006D4822">
        <w:rPr>
          <w:rFonts w:eastAsia="標楷體"/>
        </w:rPr>
        <w:t>(add-on)</w:t>
      </w:r>
      <w:r w:rsidRPr="006D4822">
        <w:rPr>
          <w:rFonts w:eastAsia="標楷體"/>
        </w:rPr>
        <w:t>，而應該是為推動永續發展的政策框架</w:t>
      </w:r>
      <w:r w:rsidRPr="006D4822">
        <w:rPr>
          <w:rFonts w:eastAsia="標楷體"/>
        </w:rPr>
        <w:lastRenderedPageBreak/>
        <w:t>中完整的一環</w:t>
      </w:r>
      <w:r w:rsidRPr="006D4822">
        <w:rPr>
          <w:rFonts w:eastAsia="標楷體"/>
        </w:rPr>
        <w:t>(integral part)</w:t>
      </w:r>
      <w:r w:rsidRPr="006D4822">
        <w:rPr>
          <w:rFonts w:eastAsia="標楷體"/>
        </w:rPr>
        <w:t>。從功能性觀點來看，公正轉型應包含「過程」及「結果」二大面向：轉型過程中，應該與社會各界進行有意義且充分的溝通，讓每</w:t>
      </w:r>
      <w:proofErr w:type="gramStart"/>
      <w:r w:rsidRPr="006D4822">
        <w:rPr>
          <w:rFonts w:eastAsia="標楷體"/>
        </w:rPr>
        <w:t>個</w:t>
      </w:r>
      <w:proofErr w:type="gramEnd"/>
      <w:r w:rsidRPr="006D4822">
        <w:rPr>
          <w:rFonts w:eastAsia="標楷體"/>
        </w:rPr>
        <w:t>族群都能公平地共同承擔、確保沒有忽略遺忘任何人</w:t>
      </w:r>
      <w:r w:rsidRPr="006D4822">
        <w:rPr>
          <w:rFonts w:eastAsia="標楷體"/>
        </w:rPr>
        <w:t>(no one is left behind)</w:t>
      </w:r>
      <w:r w:rsidRPr="006D4822">
        <w:rPr>
          <w:rFonts w:eastAsia="標楷體"/>
        </w:rPr>
        <w:t>，且最終打造出有包容性的社會，每個人都擁有</w:t>
      </w:r>
      <w:proofErr w:type="gramStart"/>
      <w:r w:rsidRPr="006D4822">
        <w:rPr>
          <w:rFonts w:eastAsia="標楷體"/>
        </w:rPr>
        <w:t>有</w:t>
      </w:r>
      <w:proofErr w:type="gramEnd"/>
      <w:r w:rsidRPr="006D4822">
        <w:rPr>
          <w:rFonts w:eastAsia="標楷體"/>
        </w:rPr>
        <w:t>尊嚴的工作，消除貧窮，達成去碳化</w:t>
      </w:r>
      <w:r w:rsidRPr="006D4822">
        <w:rPr>
          <w:rFonts w:eastAsia="標楷體"/>
        </w:rPr>
        <w:t>(decarbonization)</w:t>
      </w:r>
      <w:r w:rsidRPr="006D4822">
        <w:rPr>
          <w:rFonts w:eastAsia="標楷體"/>
        </w:rPr>
        <w:t>的經濟發展。</w:t>
      </w:r>
    </w:p>
    <w:p w14:paraId="043F08E8" w14:textId="77777777" w:rsidR="00D55BC0" w:rsidRPr="006D4822" w:rsidRDefault="00324557" w:rsidP="00E5362D">
      <w:pPr>
        <w:spacing w:line="240" w:lineRule="atLeast"/>
        <w:ind w:left="706" w:firstLine="504"/>
        <w:jc w:val="both"/>
        <w:rPr>
          <w:rFonts w:eastAsia="標楷體"/>
        </w:rPr>
      </w:pPr>
      <w:r w:rsidRPr="006D4822">
        <w:rPr>
          <w:rFonts w:eastAsia="標楷體"/>
        </w:rPr>
        <w:t>綜上所述，公正轉型應是為了對抗氣候變遷，在</w:t>
      </w:r>
      <w:proofErr w:type="gramStart"/>
      <w:r w:rsidRPr="006D4822">
        <w:rPr>
          <w:rFonts w:eastAsia="標楷體"/>
        </w:rPr>
        <w:t>建構永續</w:t>
      </w:r>
      <w:proofErr w:type="gramEnd"/>
      <w:r w:rsidRPr="006D4822">
        <w:rPr>
          <w:rFonts w:eastAsia="標楷體"/>
        </w:rPr>
        <w:t>生活、推動能源轉型過程中，思考如何與受到影響的族群合作，以彼此都覺得公平公正的方式，一起</w:t>
      </w:r>
      <w:proofErr w:type="gramStart"/>
      <w:r w:rsidRPr="006D4822">
        <w:rPr>
          <w:rFonts w:eastAsia="標楷體"/>
        </w:rPr>
        <w:t>達成淨零排放</w:t>
      </w:r>
      <w:proofErr w:type="gramEnd"/>
      <w:r w:rsidRPr="006D4822">
        <w:rPr>
          <w:rFonts w:eastAsia="標楷體"/>
        </w:rPr>
        <w:t>目標，打造具有氣候韌性的經濟。</w:t>
      </w:r>
    </w:p>
    <w:p w14:paraId="01455A5E" w14:textId="77777777" w:rsidR="00D55BC0" w:rsidRPr="006D4822" w:rsidRDefault="00324557" w:rsidP="00E5362D">
      <w:pPr>
        <w:pStyle w:val="aa"/>
        <w:numPr>
          <w:ilvl w:val="0"/>
          <w:numId w:val="2"/>
        </w:numPr>
        <w:spacing w:line="240" w:lineRule="atLeast"/>
        <w:jc w:val="both"/>
        <w:rPr>
          <w:rFonts w:eastAsia="標楷體"/>
        </w:rPr>
      </w:pPr>
      <w:r w:rsidRPr="006D4822">
        <w:rPr>
          <w:rFonts w:eastAsia="標楷體"/>
        </w:rPr>
        <w:t>理念分類</w:t>
      </w:r>
    </w:p>
    <w:p w14:paraId="5CA87075" w14:textId="77777777" w:rsidR="00D55BC0" w:rsidRPr="006D4822" w:rsidRDefault="00324557" w:rsidP="00E5362D">
      <w:pPr>
        <w:spacing w:line="240" w:lineRule="atLeast"/>
        <w:ind w:left="706" w:firstLine="504"/>
        <w:jc w:val="both"/>
      </w:pPr>
      <w:r w:rsidRPr="006D4822">
        <w:rPr>
          <w:rFonts w:eastAsia="標楷體"/>
        </w:rPr>
        <w:t>目前全球有相當多的非政府組織提倡公正轉型，其理念與</w:t>
      </w:r>
      <w:proofErr w:type="gramStart"/>
      <w:r w:rsidRPr="006D4822">
        <w:rPr>
          <w:rFonts w:eastAsia="標楷體"/>
        </w:rPr>
        <w:t>訴求互有</w:t>
      </w:r>
      <w:proofErr w:type="gramEnd"/>
      <w:r w:rsidRPr="006D4822">
        <w:rPr>
          <w:rFonts w:eastAsia="標楷體"/>
        </w:rPr>
        <w:t>差異。</w:t>
      </w:r>
      <w:r w:rsidRPr="006D4822">
        <w:rPr>
          <w:rFonts w:eastAsia="標楷體"/>
        </w:rPr>
        <w:t>Just Transition Research Collaborative(2018)</w:t>
      </w:r>
      <w:r w:rsidRPr="006D4822">
        <w:rPr>
          <w:rFonts w:eastAsia="標楷體"/>
        </w:rPr>
        <w:t>研究發現，可以從「範疇排他性</w:t>
      </w:r>
      <w:r w:rsidRPr="006D4822">
        <w:rPr>
          <w:rFonts w:eastAsia="標楷體"/>
        </w:rPr>
        <w:t>(</w:t>
      </w:r>
      <w:r w:rsidRPr="006D4822">
        <w:rPr>
          <w:rFonts w:eastAsia="標楷體"/>
        </w:rPr>
        <w:t>訴求特定對象</w:t>
      </w:r>
      <w:r w:rsidRPr="006D4822">
        <w:rPr>
          <w:rFonts w:eastAsia="標楷體"/>
        </w:rPr>
        <w:t>)/</w:t>
      </w:r>
      <w:r w:rsidRPr="006D4822">
        <w:rPr>
          <w:rFonts w:eastAsia="標楷體"/>
        </w:rPr>
        <w:t>包容性</w:t>
      </w:r>
      <w:r w:rsidRPr="006D4822">
        <w:rPr>
          <w:rFonts w:eastAsia="標楷體"/>
        </w:rPr>
        <w:t>(</w:t>
      </w:r>
      <w:r w:rsidRPr="006D4822">
        <w:rPr>
          <w:rFonts w:eastAsia="標楷體"/>
        </w:rPr>
        <w:t>訴求整體社會</w:t>
      </w:r>
      <w:r w:rsidRPr="006D4822">
        <w:rPr>
          <w:rFonts w:eastAsia="標楷體"/>
        </w:rPr>
        <w:t>)</w:t>
      </w:r>
      <w:r w:rsidRPr="006D4822">
        <w:rPr>
          <w:rFonts w:eastAsia="標楷體"/>
        </w:rPr>
        <w:t>」、「轉型不要造成侵害或提出新願景」等角度分析，區分為以下</w:t>
      </w:r>
      <w:r w:rsidRPr="006D4822">
        <w:rPr>
          <w:rFonts w:eastAsia="標楷體"/>
        </w:rPr>
        <w:t>4</w:t>
      </w:r>
      <w:r w:rsidRPr="006D4822">
        <w:rPr>
          <w:rFonts w:eastAsia="標楷體"/>
        </w:rPr>
        <w:t>種類型。</w:t>
      </w:r>
    </w:p>
    <w:p w14:paraId="44EF2E11"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rPr>
      </w:pPr>
      <w:r w:rsidRPr="006D4822">
        <w:rPr>
          <w:rFonts w:ascii="Times New Roman" w:eastAsia="標楷體" w:hAnsi="Times New Roman"/>
        </w:rPr>
        <w:t>現況改善</w:t>
      </w:r>
      <w:r w:rsidRPr="006D4822">
        <w:rPr>
          <w:rFonts w:ascii="Times New Roman" w:eastAsia="標楷體" w:hAnsi="Times New Roman"/>
        </w:rPr>
        <w:t>(Status quo)</w:t>
      </w:r>
      <w:r w:rsidRPr="006D4822">
        <w:rPr>
          <w:rFonts w:ascii="Times New Roman" w:eastAsia="標楷體" w:hAnsi="Times New Roman"/>
        </w:rPr>
        <w:t>：在企業層次、市場導向上推動自願性、由下而上的改變，而政府部門可以提供推力或誘因機制。</w:t>
      </w:r>
    </w:p>
    <w:p w14:paraId="26C72742" w14:textId="77777777" w:rsidR="00D55BC0" w:rsidRPr="006D4822" w:rsidRDefault="00324557" w:rsidP="00E5362D">
      <w:pPr>
        <w:pStyle w:val="aa"/>
        <w:numPr>
          <w:ilvl w:val="1"/>
          <w:numId w:val="3"/>
        </w:numPr>
        <w:spacing w:line="240" w:lineRule="atLeast"/>
        <w:ind w:hanging="251"/>
        <w:jc w:val="both"/>
      </w:pPr>
      <w:r w:rsidRPr="006D4822">
        <w:rPr>
          <w:rFonts w:ascii="Times New Roman" w:eastAsia="標楷體" w:hAnsi="Times New Roman"/>
          <w:szCs w:val="24"/>
        </w:rPr>
        <w:t>管理變革</w:t>
      </w:r>
      <w:r w:rsidRPr="006D4822">
        <w:rPr>
          <w:rFonts w:ascii="Times New Roman" w:eastAsia="標楷體" w:hAnsi="Times New Roman"/>
          <w:szCs w:val="24"/>
        </w:rPr>
        <w:t>(Managerial reform)</w:t>
      </w:r>
      <w:r w:rsidRPr="006D4822">
        <w:rPr>
          <w:rFonts w:ascii="Times New Roman" w:eastAsia="標楷體" w:hAnsi="Times New Roman"/>
          <w:szCs w:val="24"/>
        </w:rPr>
        <w:t>：在既有經濟體系下修訂或建立新規範，推動較大幅度的改變以尋求公正性。</w:t>
      </w:r>
    </w:p>
    <w:p w14:paraId="4139C3BA" w14:textId="7C6B69DD"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結構變革</w:t>
      </w:r>
      <w:r w:rsidRPr="006D4822">
        <w:rPr>
          <w:rFonts w:ascii="Times New Roman" w:eastAsia="標楷體" w:hAnsi="Times New Roman"/>
          <w:szCs w:val="24"/>
        </w:rPr>
        <w:t>(Structural reform)</w:t>
      </w:r>
      <w:r w:rsidRPr="006D4822">
        <w:rPr>
          <w:rFonts w:ascii="Times New Roman" w:eastAsia="標楷體" w:hAnsi="Times New Roman"/>
          <w:szCs w:val="24"/>
        </w:rPr>
        <w:t>：推動制度性變革，以及政治、經濟系統結構性改變來尋求新方向。</w:t>
      </w:r>
    </w:p>
    <w:p w14:paraId="60168B9D" w14:textId="3FC941D7" w:rsidR="00D55BC0" w:rsidRPr="006D4822" w:rsidRDefault="00CF1017" w:rsidP="00E5362D">
      <w:pPr>
        <w:pStyle w:val="aa"/>
        <w:numPr>
          <w:ilvl w:val="1"/>
          <w:numId w:val="3"/>
        </w:numPr>
        <w:spacing w:line="240" w:lineRule="atLeast"/>
        <w:ind w:hanging="251"/>
        <w:jc w:val="both"/>
      </w:pPr>
      <w:r w:rsidRPr="006D4822">
        <w:rPr>
          <w:noProof/>
        </w:rPr>
        <w:drawing>
          <wp:anchor distT="0" distB="0" distL="114300" distR="114300" simplePos="0" relativeHeight="251658240" behindDoc="0" locked="0" layoutInCell="1" allowOverlap="1" wp14:anchorId="74846BF2" wp14:editId="2FB13BD1">
            <wp:simplePos x="0" y="0"/>
            <wp:positionH relativeFrom="column">
              <wp:posOffset>746125</wp:posOffset>
            </wp:positionH>
            <wp:positionV relativeFrom="paragraph">
              <wp:posOffset>276057</wp:posOffset>
            </wp:positionV>
            <wp:extent cx="4982845" cy="3474720"/>
            <wp:effectExtent l="0" t="0" r="8255" b="0"/>
            <wp:wrapTopAndBottom/>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82845" cy="34747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24557" w:rsidRPr="006D4822">
        <w:rPr>
          <w:rFonts w:ascii="Times New Roman" w:eastAsia="標楷體" w:hAnsi="Times New Roman"/>
        </w:rPr>
        <w:t>完全轉型</w:t>
      </w:r>
      <w:r w:rsidR="00324557" w:rsidRPr="006D4822">
        <w:rPr>
          <w:rFonts w:ascii="Times New Roman" w:eastAsia="標楷體" w:hAnsi="Times New Roman"/>
        </w:rPr>
        <w:t>(</w:t>
      </w:r>
      <w:r w:rsidR="00324557" w:rsidRPr="006D4822">
        <w:rPr>
          <w:rFonts w:ascii="Times New Roman" w:eastAsia="標楷體" w:hAnsi="Times New Roman"/>
          <w:szCs w:val="24"/>
        </w:rPr>
        <w:t>Transformation</w:t>
      </w:r>
      <w:r w:rsidR="00324557" w:rsidRPr="006D4822">
        <w:rPr>
          <w:rFonts w:ascii="Times New Roman" w:eastAsia="標楷體" w:hAnsi="Times New Roman"/>
        </w:rPr>
        <w:t>)</w:t>
      </w:r>
      <w:r w:rsidR="00324557" w:rsidRPr="006D4822">
        <w:rPr>
          <w:rFonts w:ascii="Times New Roman" w:eastAsia="標楷體" w:hAnsi="Times New Roman"/>
        </w:rPr>
        <w:t>：徹底改變政治、經濟體</w:t>
      </w:r>
      <w:r w:rsidR="00324557" w:rsidRPr="006D4822">
        <w:rPr>
          <w:rFonts w:eastAsia="標楷體"/>
        </w:rPr>
        <w:t>系，建立全新的人類與環境關係。</w:t>
      </w:r>
    </w:p>
    <w:p w14:paraId="29E5FB51" w14:textId="24B8AB0A" w:rsidR="00D55BC0" w:rsidRPr="006D4822" w:rsidRDefault="00324557" w:rsidP="00E5362D">
      <w:pPr>
        <w:spacing w:line="240" w:lineRule="atLeast"/>
        <w:jc w:val="center"/>
        <w:rPr>
          <w:rFonts w:eastAsia="標楷體"/>
        </w:rPr>
      </w:pPr>
      <w:r w:rsidRPr="006D4822">
        <w:rPr>
          <w:rFonts w:eastAsia="標楷體"/>
        </w:rPr>
        <w:t>資料來源：</w:t>
      </w:r>
      <w:r w:rsidRPr="006D4822">
        <w:rPr>
          <w:rFonts w:eastAsia="標楷體"/>
        </w:rPr>
        <w:t xml:space="preserve">Just Transition Research </w:t>
      </w:r>
      <w:proofErr w:type="gramStart"/>
      <w:r w:rsidRPr="006D4822">
        <w:rPr>
          <w:rFonts w:eastAsia="標楷體"/>
        </w:rPr>
        <w:t>Collaborative(</w:t>
      </w:r>
      <w:proofErr w:type="gramEnd"/>
      <w:r w:rsidRPr="006D4822">
        <w:rPr>
          <w:rFonts w:eastAsia="標楷體"/>
        </w:rPr>
        <w:t>2018)</w:t>
      </w:r>
    </w:p>
    <w:p w14:paraId="76E708AC" w14:textId="77777777" w:rsidR="00D55BC0" w:rsidRPr="006D4822" w:rsidRDefault="00324557" w:rsidP="00E5362D">
      <w:pPr>
        <w:pStyle w:val="aa"/>
        <w:numPr>
          <w:ilvl w:val="0"/>
          <w:numId w:val="1"/>
        </w:numPr>
        <w:autoSpaceDE w:val="0"/>
        <w:snapToGrid w:val="0"/>
        <w:spacing w:line="240" w:lineRule="atLeast"/>
        <w:jc w:val="both"/>
      </w:pPr>
      <w:r w:rsidRPr="006D4822">
        <w:rPr>
          <w:rFonts w:eastAsia="標楷體"/>
          <w:b/>
          <w:bCs/>
        </w:rPr>
        <w:t>國際政策趨勢與原則</w:t>
      </w:r>
    </w:p>
    <w:p w14:paraId="18449BCF" w14:textId="77777777" w:rsidR="00D55BC0" w:rsidRPr="006D4822" w:rsidRDefault="00324557" w:rsidP="00E5362D">
      <w:pPr>
        <w:spacing w:line="240" w:lineRule="atLeast"/>
        <w:ind w:firstLine="480"/>
        <w:jc w:val="both"/>
      </w:pPr>
      <w:r w:rsidRPr="006D4822">
        <w:rPr>
          <w:rFonts w:eastAsia="標楷體"/>
        </w:rPr>
        <w:lastRenderedPageBreak/>
        <w:t>這四種轉型理念影響了各國政府所設計推動政策，</w:t>
      </w:r>
      <w:proofErr w:type="spellStart"/>
      <w:r w:rsidRPr="006D4822">
        <w:rPr>
          <w:rFonts w:eastAsia="標楷體"/>
        </w:rPr>
        <w:t>Krawchenko</w:t>
      </w:r>
      <w:proofErr w:type="spellEnd"/>
      <w:r w:rsidRPr="006D4822">
        <w:rPr>
          <w:rFonts w:eastAsia="標楷體"/>
        </w:rPr>
        <w:t xml:space="preserve"> &amp; Gordon(2021)</w:t>
      </w:r>
      <w:r w:rsidRPr="006D4822">
        <w:rPr>
          <w:rFonts w:eastAsia="標楷體"/>
        </w:rPr>
        <w:t>蒐集歐洲</w:t>
      </w:r>
      <w:r w:rsidRPr="006D4822">
        <w:rPr>
          <w:rFonts w:eastAsia="標楷體"/>
        </w:rPr>
        <w:t>25</w:t>
      </w:r>
      <w:r w:rsidRPr="006D4822">
        <w:rPr>
          <w:rFonts w:eastAsia="標楷體"/>
        </w:rPr>
        <w:t>個國家</w:t>
      </w:r>
      <w:r w:rsidRPr="006D4822">
        <w:rPr>
          <w:rFonts w:eastAsia="標楷體"/>
        </w:rPr>
        <w:t>(</w:t>
      </w:r>
      <w:r w:rsidRPr="006D4822">
        <w:rPr>
          <w:rFonts w:eastAsia="標楷體"/>
        </w:rPr>
        <w:t>皆為</w:t>
      </w:r>
      <w:r w:rsidRPr="006D4822">
        <w:rPr>
          <w:rFonts w:eastAsia="標楷體"/>
        </w:rPr>
        <w:t>OECD</w:t>
      </w:r>
      <w:r w:rsidRPr="006D4822">
        <w:rPr>
          <w:rFonts w:eastAsia="標楷體"/>
        </w:rPr>
        <w:t>會員國</w:t>
      </w:r>
      <w:r w:rsidRPr="006D4822">
        <w:rPr>
          <w:rFonts w:eastAsia="標楷體"/>
        </w:rPr>
        <w:t>)</w:t>
      </w:r>
      <w:r w:rsidRPr="006D4822">
        <w:rPr>
          <w:rFonts w:eastAsia="標楷體"/>
        </w:rPr>
        <w:t>、</w:t>
      </w:r>
      <w:r w:rsidRPr="006D4822">
        <w:rPr>
          <w:rFonts w:eastAsia="標楷體"/>
        </w:rPr>
        <w:t>74</w:t>
      </w:r>
      <w:r w:rsidRPr="006D4822">
        <w:rPr>
          <w:rFonts w:eastAsia="標楷體"/>
        </w:rPr>
        <w:t>個地區與推動公正轉型之政策、策略、倡議方案及實務作為等資料，盤點後歸納出當今推動公正轉型之國家級政策方案，主要可分為以下</w:t>
      </w:r>
      <w:r w:rsidRPr="006D4822">
        <w:rPr>
          <w:rFonts w:eastAsia="標楷體"/>
        </w:rPr>
        <w:t>7</w:t>
      </w:r>
      <w:r w:rsidRPr="006D4822">
        <w:rPr>
          <w:rFonts w:eastAsia="標楷體"/>
        </w:rPr>
        <w:t>種類型：</w:t>
      </w:r>
    </w:p>
    <w:p w14:paraId="1B1A0847" w14:textId="77777777" w:rsidR="00D55BC0" w:rsidRPr="006D4822" w:rsidRDefault="00324557" w:rsidP="00E5362D">
      <w:pPr>
        <w:pStyle w:val="aa"/>
        <w:numPr>
          <w:ilvl w:val="1"/>
          <w:numId w:val="3"/>
        </w:numPr>
        <w:spacing w:line="240" w:lineRule="atLeast"/>
        <w:ind w:hanging="251"/>
        <w:jc w:val="both"/>
      </w:pPr>
      <w:r w:rsidRPr="006D4822">
        <w:rPr>
          <w:rFonts w:ascii="Times New Roman" w:eastAsia="標楷體" w:hAnsi="Times New Roman"/>
          <w:szCs w:val="24"/>
        </w:rPr>
        <w:t>政策治理</w:t>
      </w:r>
      <w:r w:rsidRPr="006D4822">
        <w:rPr>
          <w:rFonts w:ascii="Times New Roman" w:eastAsia="標楷體" w:hAnsi="Times New Roman"/>
          <w:szCs w:val="24"/>
        </w:rPr>
        <w:t>(governance)</w:t>
      </w:r>
      <w:r w:rsidRPr="006D4822">
        <w:rPr>
          <w:rFonts w:ascii="Times New Roman" w:eastAsia="標楷體" w:hAnsi="Times New Roman"/>
          <w:szCs w:val="24"/>
        </w:rPr>
        <w:t>：諮詢與積極參與、多方利益關係人協作平台、協調辦公室</w:t>
      </w:r>
    </w:p>
    <w:p w14:paraId="50BC487C"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社會支持</w:t>
      </w:r>
      <w:r w:rsidRPr="006D4822">
        <w:rPr>
          <w:rFonts w:ascii="Times New Roman" w:eastAsia="標楷體" w:hAnsi="Times New Roman"/>
          <w:szCs w:val="24"/>
        </w:rPr>
        <w:t>(social supports)</w:t>
      </w:r>
      <w:r w:rsidRPr="006D4822">
        <w:rPr>
          <w:rFonts w:ascii="Times New Roman" w:eastAsia="標楷體" w:hAnsi="Times New Roman"/>
          <w:szCs w:val="24"/>
        </w:rPr>
        <w:t>：轉業勞工臨時性財務支持、就業服務、社會保險</w:t>
      </w:r>
      <w:r w:rsidRPr="006D4822">
        <w:rPr>
          <w:rFonts w:ascii="Times New Roman" w:eastAsia="標楷體" w:hAnsi="Times New Roman"/>
          <w:szCs w:val="24"/>
        </w:rPr>
        <w:t>/</w:t>
      </w:r>
      <w:r w:rsidRPr="006D4822">
        <w:rPr>
          <w:rFonts w:ascii="Times New Roman" w:eastAsia="標楷體" w:hAnsi="Times New Roman"/>
          <w:szCs w:val="24"/>
        </w:rPr>
        <w:t>失業救助、退休金方案</w:t>
      </w:r>
    </w:p>
    <w:p w14:paraId="62359BD4"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勞動力發展</w:t>
      </w:r>
      <w:r w:rsidRPr="006D4822">
        <w:rPr>
          <w:rFonts w:ascii="Times New Roman" w:eastAsia="標楷體" w:hAnsi="Times New Roman"/>
          <w:szCs w:val="24"/>
        </w:rPr>
        <w:t>(workforce development)</w:t>
      </w:r>
      <w:r w:rsidRPr="006D4822">
        <w:rPr>
          <w:rFonts w:ascii="Times New Roman" w:eastAsia="標楷體" w:hAnsi="Times New Roman"/>
          <w:szCs w:val="24"/>
        </w:rPr>
        <w:t>：就業與技能策略、訓練及教育方案、職缺資料庫及勞動市場資訊</w:t>
      </w:r>
    </w:p>
    <w:p w14:paraId="3DA80B9A"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經濟發展</w:t>
      </w:r>
      <w:r w:rsidRPr="006D4822">
        <w:rPr>
          <w:rFonts w:ascii="Times New Roman" w:eastAsia="標楷體" w:hAnsi="Times New Roman"/>
          <w:szCs w:val="24"/>
        </w:rPr>
        <w:t>(economic development)</w:t>
      </w:r>
      <w:r w:rsidRPr="006D4822">
        <w:rPr>
          <w:rFonts w:ascii="Times New Roman" w:eastAsia="標楷體" w:hAnsi="Times New Roman"/>
          <w:szCs w:val="24"/>
        </w:rPr>
        <w:t>：產業轉型宣示及策略、企業稅務誘因、特定部門投資、中小企業及新創支持</w:t>
      </w:r>
    </w:p>
    <w:p w14:paraId="72D1E8E3"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地區發展</w:t>
      </w:r>
      <w:r w:rsidRPr="006D4822">
        <w:rPr>
          <w:rFonts w:ascii="Times New Roman" w:eastAsia="標楷體" w:hAnsi="Times New Roman"/>
          <w:szCs w:val="24"/>
        </w:rPr>
        <w:t>(regional development)</w:t>
      </w:r>
      <w:r w:rsidRPr="006D4822">
        <w:rPr>
          <w:rFonts w:ascii="Times New Roman" w:eastAsia="標楷體" w:hAnsi="Times New Roman"/>
          <w:szCs w:val="24"/>
        </w:rPr>
        <w:t>：區域</w:t>
      </w:r>
      <w:r w:rsidRPr="006D4822">
        <w:rPr>
          <w:rFonts w:ascii="Times New Roman" w:eastAsia="標楷體" w:hAnsi="Times New Roman"/>
          <w:szCs w:val="24"/>
        </w:rPr>
        <w:t>/</w:t>
      </w:r>
      <w:r w:rsidRPr="006D4822">
        <w:rPr>
          <w:rFonts w:ascii="Times New Roman" w:eastAsia="標楷體" w:hAnsi="Times New Roman"/>
          <w:szCs w:val="24"/>
        </w:rPr>
        <w:t>鄉村發展方案、基礎建設投資、空間規劃</w:t>
      </w:r>
    </w:p>
    <w:p w14:paraId="79E0336A"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知識經濟</w:t>
      </w:r>
      <w:r w:rsidRPr="006D4822">
        <w:rPr>
          <w:rFonts w:ascii="Times New Roman" w:eastAsia="標楷體" w:hAnsi="Times New Roman"/>
          <w:szCs w:val="24"/>
        </w:rPr>
        <w:t>(knowledge economy)</w:t>
      </w:r>
      <w:r w:rsidRPr="006D4822">
        <w:rPr>
          <w:rFonts w:ascii="Times New Roman" w:eastAsia="標楷體" w:hAnsi="Times New Roman"/>
          <w:szCs w:val="24"/>
        </w:rPr>
        <w:t>、數位化</w:t>
      </w:r>
      <w:r w:rsidRPr="006D4822">
        <w:rPr>
          <w:rFonts w:ascii="Times New Roman" w:eastAsia="標楷體" w:hAnsi="Times New Roman"/>
          <w:szCs w:val="24"/>
        </w:rPr>
        <w:t>(digitalization)</w:t>
      </w:r>
      <w:r w:rsidRPr="006D4822">
        <w:rPr>
          <w:rFonts w:ascii="Times New Roman" w:eastAsia="標楷體" w:hAnsi="Times New Roman"/>
          <w:szCs w:val="24"/>
        </w:rPr>
        <w:t>、工業</w:t>
      </w:r>
      <w:r w:rsidRPr="006D4822">
        <w:rPr>
          <w:rFonts w:ascii="Times New Roman" w:eastAsia="標楷體" w:hAnsi="Times New Roman"/>
          <w:szCs w:val="24"/>
        </w:rPr>
        <w:t>(industry)4.0</w:t>
      </w:r>
      <w:r w:rsidRPr="006D4822">
        <w:rPr>
          <w:rFonts w:ascii="Times New Roman" w:eastAsia="標楷體" w:hAnsi="Times New Roman"/>
          <w:szCs w:val="24"/>
        </w:rPr>
        <w:t>：創新投資、工業</w:t>
      </w:r>
      <w:r w:rsidRPr="006D4822">
        <w:rPr>
          <w:rFonts w:ascii="Times New Roman" w:eastAsia="標楷體" w:hAnsi="Times New Roman"/>
          <w:szCs w:val="24"/>
        </w:rPr>
        <w:t>4.0</w:t>
      </w:r>
      <w:r w:rsidRPr="006D4822">
        <w:rPr>
          <w:rFonts w:ascii="Times New Roman" w:eastAsia="標楷體" w:hAnsi="Times New Roman"/>
          <w:szCs w:val="24"/>
        </w:rPr>
        <w:t>策略、研究及高等教育基金</w:t>
      </w:r>
    </w:p>
    <w:p w14:paraId="29215987"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氣候方案</w:t>
      </w:r>
      <w:r w:rsidRPr="006D4822">
        <w:rPr>
          <w:rFonts w:ascii="Times New Roman" w:eastAsia="標楷體" w:hAnsi="Times New Roman"/>
          <w:szCs w:val="24"/>
        </w:rPr>
        <w:t>(climate solutions)</w:t>
      </w:r>
      <w:r w:rsidRPr="006D4822">
        <w:rPr>
          <w:rFonts w:ascii="Times New Roman" w:eastAsia="標楷體" w:hAnsi="Times New Roman"/>
          <w:szCs w:val="24"/>
        </w:rPr>
        <w:t>：整合溫室</w:t>
      </w:r>
      <w:proofErr w:type="gramStart"/>
      <w:r w:rsidRPr="006D4822">
        <w:rPr>
          <w:rFonts w:ascii="Times New Roman" w:eastAsia="標楷體" w:hAnsi="Times New Roman"/>
          <w:szCs w:val="24"/>
        </w:rPr>
        <w:t>氣體淨零排放</w:t>
      </w:r>
      <w:proofErr w:type="gramEnd"/>
      <w:r w:rsidRPr="006D4822">
        <w:rPr>
          <w:rFonts w:ascii="Times New Roman" w:eastAsia="標楷體" w:hAnsi="Times New Roman"/>
          <w:szCs w:val="24"/>
        </w:rPr>
        <w:t>之承諾、氣候變遷及能源策略、適應方案、調適方案、潔淨科技投資</w:t>
      </w:r>
      <w:r w:rsidRPr="006D4822">
        <w:rPr>
          <w:rFonts w:ascii="Times New Roman" w:eastAsia="標楷體" w:hAnsi="Times New Roman"/>
          <w:szCs w:val="24"/>
        </w:rPr>
        <w:t>/</w:t>
      </w:r>
      <w:r w:rsidRPr="006D4822">
        <w:rPr>
          <w:rFonts w:ascii="Times New Roman" w:eastAsia="標楷體" w:hAnsi="Times New Roman"/>
          <w:szCs w:val="24"/>
        </w:rPr>
        <w:t>能源轉型基金</w:t>
      </w:r>
    </w:p>
    <w:p w14:paraId="7F7458CB" w14:textId="77777777" w:rsidR="00D55BC0" w:rsidRPr="006D4822" w:rsidRDefault="00324557" w:rsidP="00E5362D">
      <w:pPr>
        <w:spacing w:line="240" w:lineRule="atLeast"/>
        <w:ind w:firstLine="480"/>
        <w:jc w:val="both"/>
      </w:pPr>
      <w:r w:rsidRPr="006D4822">
        <w:rPr>
          <w:rFonts w:eastAsia="標楷體"/>
        </w:rPr>
        <w:t>雖然各國政策相當多元，但都具有特定的目的性，而目的背後，亦具有一定的推動原則。</w:t>
      </w:r>
      <w:proofErr w:type="spellStart"/>
      <w:r w:rsidRPr="006D4822">
        <w:rPr>
          <w:rFonts w:eastAsia="標楷體"/>
        </w:rPr>
        <w:t>Atteridge</w:t>
      </w:r>
      <w:proofErr w:type="spellEnd"/>
      <w:r w:rsidRPr="006D4822">
        <w:rPr>
          <w:rFonts w:eastAsia="標楷體"/>
        </w:rPr>
        <w:t xml:space="preserve"> &amp; </w:t>
      </w:r>
      <w:proofErr w:type="spellStart"/>
      <w:r w:rsidRPr="006D4822">
        <w:rPr>
          <w:rFonts w:eastAsia="標楷體"/>
        </w:rPr>
        <w:t>Strambo</w:t>
      </w:r>
      <w:proofErr w:type="spellEnd"/>
      <w:r w:rsidRPr="006D4822">
        <w:rPr>
          <w:rFonts w:eastAsia="標楷體"/>
        </w:rPr>
        <w:t>(2020)</w:t>
      </w:r>
      <w:r w:rsidRPr="006D4822">
        <w:rPr>
          <w:rFonts w:eastAsia="標楷體"/>
        </w:rPr>
        <w:t>整理各國政策文獻後歸納出</w:t>
      </w:r>
      <w:r w:rsidRPr="006D4822">
        <w:rPr>
          <w:rFonts w:eastAsia="標楷體"/>
        </w:rPr>
        <w:t>7</w:t>
      </w:r>
      <w:r w:rsidRPr="006D4822">
        <w:rPr>
          <w:rFonts w:eastAsia="標楷體"/>
        </w:rPr>
        <w:t>項重要推動原則，可做為制定政策的參考。</w:t>
      </w:r>
    </w:p>
    <w:p w14:paraId="2D7F7243"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積極鼓勵低碳轉型措施：儘管碳排放密集產業仍有可改善前景，仍應加速推動低碳轉型，早日</w:t>
      </w:r>
      <w:proofErr w:type="gramStart"/>
      <w:r w:rsidRPr="006D4822">
        <w:rPr>
          <w:rFonts w:ascii="Times New Roman" w:eastAsia="標楷體" w:hAnsi="Times New Roman"/>
          <w:szCs w:val="24"/>
        </w:rPr>
        <w:t>達到淨零排放</w:t>
      </w:r>
      <w:proofErr w:type="gramEnd"/>
      <w:r w:rsidRPr="006D4822">
        <w:rPr>
          <w:rFonts w:ascii="Times New Roman" w:eastAsia="標楷體" w:hAnsi="Times New Roman"/>
          <w:szCs w:val="24"/>
        </w:rPr>
        <w:t>的目標。</w:t>
      </w:r>
    </w:p>
    <w:p w14:paraId="0D4F3A67"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須轉型產業應避免創造出更多輸家、</w:t>
      </w:r>
      <w:proofErr w:type="gramStart"/>
      <w:r w:rsidRPr="006D4822">
        <w:rPr>
          <w:rFonts w:ascii="Times New Roman" w:eastAsia="標楷體" w:hAnsi="Times New Roman"/>
          <w:szCs w:val="24"/>
        </w:rPr>
        <w:t>發生碳內鎖</w:t>
      </w:r>
      <w:proofErr w:type="gramEnd"/>
      <w:r w:rsidRPr="006D4822">
        <w:rPr>
          <w:rFonts w:ascii="Times New Roman" w:eastAsia="標楷體" w:hAnsi="Times New Roman"/>
          <w:szCs w:val="24"/>
        </w:rPr>
        <w:t>(lock-in)</w:t>
      </w:r>
      <w:r w:rsidRPr="006D4822">
        <w:rPr>
          <w:rFonts w:ascii="Times New Roman" w:eastAsia="標楷體" w:hAnsi="Times New Roman"/>
          <w:szCs w:val="24"/>
        </w:rPr>
        <w:t>現象：儘管碳排放密集產業仍持續有新投資活動，應避免公正轉型受到影響以及產生更大的依賴性。</w:t>
      </w:r>
    </w:p>
    <w:p w14:paraId="33802E87"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支持受影響的區域：為受影響區域創造機會以活絡經濟；至於經濟活動較少地區則需協助進行多元投資。</w:t>
      </w:r>
      <w:r w:rsidRPr="006D4822">
        <w:rPr>
          <w:rFonts w:ascii="Times New Roman" w:eastAsia="標楷體" w:hAnsi="Times New Roman"/>
          <w:szCs w:val="24"/>
        </w:rPr>
        <w:t xml:space="preserve"> </w:t>
      </w:r>
    </w:p>
    <w:p w14:paraId="5785B1DB"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支持因產業縮減、轉型或關閉而受影響的勞工、家庭和社區：協助提供新就業機會、發展新生計；若無法再就業，則應提供社會保護方案，確保公正轉型不會對弱勢族群造成進一步傷害。</w:t>
      </w:r>
    </w:p>
    <w:p w14:paraId="3F04FCF8"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清理並控管環境損害，避免所產生成本向外擴散：「汙染者付費」應是基本共識。</w:t>
      </w:r>
    </w:p>
    <w:p w14:paraId="3D698AD7" w14:textId="77777777" w:rsidR="00D55BC0" w:rsidRPr="006D4822" w:rsidRDefault="00324557" w:rsidP="00E5362D">
      <w:pPr>
        <w:pStyle w:val="aa"/>
        <w:numPr>
          <w:ilvl w:val="1"/>
          <w:numId w:val="3"/>
        </w:numPr>
        <w:spacing w:line="240" w:lineRule="atLeast"/>
        <w:ind w:hanging="251"/>
        <w:jc w:val="both"/>
        <w:rPr>
          <w:rFonts w:ascii="Times New Roman" w:eastAsia="標楷體" w:hAnsi="Times New Roman"/>
          <w:szCs w:val="24"/>
        </w:rPr>
      </w:pPr>
      <w:r w:rsidRPr="006D4822">
        <w:rPr>
          <w:rFonts w:ascii="Times New Roman" w:eastAsia="標楷體" w:hAnsi="Times New Roman"/>
          <w:szCs w:val="24"/>
        </w:rPr>
        <w:t>解決經濟、社會上已經發生的不公平問題：應從社會公平角度提出解決方案，包括設定具體明確目標、設計輔導措施、評估經濟發展機會、衡量未來可能影響等項目。</w:t>
      </w:r>
    </w:p>
    <w:p w14:paraId="15001E4B" w14:textId="77777777" w:rsidR="00D55BC0" w:rsidRPr="006D4822" w:rsidRDefault="00324557" w:rsidP="00E5362D">
      <w:pPr>
        <w:pStyle w:val="aa"/>
        <w:numPr>
          <w:ilvl w:val="1"/>
          <w:numId w:val="3"/>
        </w:numPr>
        <w:spacing w:line="240" w:lineRule="atLeast"/>
        <w:ind w:hanging="251"/>
        <w:jc w:val="both"/>
      </w:pPr>
      <w:r w:rsidRPr="006D4822">
        <w:rPr>
          <w:rFonts w:ascii="Times New Roman" w:eastAsia="標楷體" w:hAnsi="Times New Roman"/>
          <w:szCs w:val="24"/>
        </w:rPr>
        <w:t>確立具有包容性且透明的規劃程序：以充分社會溝通為基礎，經濟發展路徑和優先序應該由在地族</w:t>
      </w:r>
      <w:r w:rsidRPr="006D4822">
        <w:rPr>
          <w:rFonts w:eastAsia="標楷體"/>
        </w:rPr>
        <w:t>群共同決定。</w:t>
      </w:r>
    </w:p>
    <w:p w14:paraId="4096E1F6" w14:textId="77777777" w:rsidR="00D55BC0" w:rsidRPr="006D4822" w:rsidRDefault="00324557" w:rsidP="00E5362D">
      <w:pPr>
        <w:pStyle w:val="aa"/>
        <w:numPr>
          <w:ilvl w:val="0"/>
          <w:numId w:val="1"/>
        </w:numPr>
        <w:autoSpaceDE w:val="0"/>
        <w:snapToGrid w:val="0"/>
        <w:spacing w:line="240" w:lineRule="atLeast"/>
        <w:jc w:val="both"/>
      </w:pPr>
      <w:r w:rsidRPr="006D4822">
        <w:rPr>
          <w:rFonts w:eastAsia="標楷體"/>
          <w:b/>
        </w:rPr>
        <w:t>公正轉型借鏡方向</w:t>
      </w:r>
    </w:p>
    <w:p w14:paraId="7767757A" w14:textId="5B859B0C" w:rsidR="00D55BC0" w:rsidRPr="006D4822" w:rsidRDefault="00324557" w:rsidP="00E5362D">
      <w:pPr>
        <w:spacing w:line="240" w:lineRule="atLeast"/>
        <w:ind w:firstLine="480"/>
        <w:jc w:val="both"/>
      </w:pPr>
      <w:r w:rsidRPr="006D4822">
        <w:rPr>
          <w:rFonts w:eastAsia="標楷體"/>
        </w:rPr>
        <w:t>而進一步檢視近年推動公正轉型主要國家之落實做法</w:t>
      </w:r>
      <w:r w:rsidRPr="006D4822">
        <w:rPr>
          <w:rFonts w:eastAsia="標楷體"/>
        </w:rPr>
        <w:t>(</w:t>
      </w:r>
      <w:r w:rsidRPr="006D4822">
        <w:rPr>
          <w:rFonts w:eastAsia="標楷體"/>
        </w:rPr>
        <w:t>陳立衡，</w:t>
      </w:r>
      <w:r w:rsidRPr="006D4822">
        <w:rPr>
          <w:rFonts w:eastAsia="標楷體"/>
        </w:rPr>
        <w:t>2022)</w:t>
      </w:r>
      <w:r w:rsidRPr="006D4822">
        <w:rPr>
          <w:rFonts w:eastAsia="標楷體"/>
        </w:rPr>
        <w:t>，可發現各國推動</w:t>
      </w:r>
      <w:r w:rsidRPr="006D4822">
        <w:rPr>
          <w:rFonts w:eastAsia="標楷體"/>
        </w:rPr>
        <w:lastRenderedPageBreak/>
        <w:t>機制有幾項共通點：</w:t>
      </w:r>
      <w:r w:rsidRPr="006D4822">
        <w:rPr>
          <w:rFonts w:eastAsia="標楷體"/>
        </w:rPr>
        <w:t>(</w:t>
      </w:r>
      <w:proofErr w:type="gramStart"/>
      <w:r w:rsidRPr="006D4822">
        <w:rPr>
          <w:rFonts w:eastAsia="標楷體"/>
        </w:rPr>
        <w:t>一</w:t>
      </w:r>
      <w:proofErr w:type="gramEnd"/>
      <w:r w:rsidRPr="006D4822">
        <w:rPr>
          <w:rFonts w:eastAsia="標楷體"/>
        </w:rPr>
        <w:t>)</w:t>
      </w:r>
      <w:r w:rsidRPr="006D4822">
        <w:rPr>
          <w:rFonts w:eastAsia="標楷體"/>
        </w:rPr>
        <w:t>強調適法性：制定明確專門法源做為推動公共轉型之依循；</w:t>
      </w:r>
      <w:r w:rsidRPr="006D4822">
        <w:rPr>
          <w:rFonts w:eastAsia="標楷體"/>
        </w:rPr>
        <w:t>(</w:t>
      </w:r>
      <w:r w:rsidRPr="006D4822">
        <w:rPr>
          <w:rFonts w:eastAsia="標楷體"/>
        </w:rPr>
        <w:t>二</w:t>
      </w:r>
      <w:r w:rsidRPr="006D4822">
        <w:rPr>
          <w:rFonts w:eastAsia="標楷體"/>
        </w:rPr>
        <w:t>)</w:t>
      </w:r>
      <w:r w:rsidRPr="006D4822">
        <w:rPr>
          <w:rFonts w:eastAsia="標楷體"/>
        </w:rPr>
        <w:t>專責主導：因公正轉型涉及領域及層面較廣，不論是以現有部會推動或是規劃新部門，</w:t>
      </w:r>
      <w:proofErr w:type="gramStart"/>
      <w:r w:rsidRPr="006D4822">
        <w:rPr>
          <w:rFonts w:eastAsia="標楷體"/>
        </w:rPr>
        <w:t>均是由</w:t>
      </w:r>
      <w:proofErr w:type="gramEnd"/>
      <w:r w:rsidRPr="006D4822">
        <w:rPr>
          <w:rFonts w:eastAsia="標楷體"/>
        </w:rPr>
        <w:t>一個專責單位來辦理；</w:t>
      </w:r>
      <w:r w:rsidRPr="006D4822">
        <w:rPr>
          <w:rFonts w:eastAsia="標楷體"/>
        </w:rPr>
        <w:t>(</w:t>
      </w:r>
      <w:r w:rsidRPr="006D4822">
        <w:rPr>
          <w:rFonts w:eastAsia="標楷體"/>
        </w:rPr>
        <w:t>三</w:t>
      </w:r>
      <w:r w:rsidRPr="006D4822">
        <w:rPr>
          <w:rFonts w:eastAsia="標楷體"/>
        </w:rPr>
        <w:t>)</w:t>
      </w:r>
      <w:r w:rsidRPr="006D4822">
        <w:rPr>
          <w:rFonts w:eastAsia="標楷體"/>
        </w:rPr>
        <w:t>加強中央與地方協作：公正轉型涉及的人或場域，多與地方相關，如欲順利落實公正轉型，</w:t>
      </w:r>
      <w:proofErr w:type="gramStart"/>
      <w:r w:rsidRPr="006D4822">
        <w:rPr>
          <w:rFonts w:eastAsia="標楷體"/>
        </w:rPr>
        <w:t>均需思考</w:t>
      </w:r>
      <w:proofErr w:type="gramEnd"/>
      <w:r w:rsidRPr="006D4822">
        <w:rPr>
          <w:rFonts w:eastAsia="標楷體"/>
        </w:rPr>
        <w:t>與地方政府資源整合，以區域性計畫方案推展；</w:t>
      </w:r>
      <w:r w:rsidRPr="006D4822">
        <w:rPr>
          <w:rFonts w:eastAsia="標楷體"/>
        </w:rPr>
        <w:t>(</w:t>
      </w:r>
      <w:r w:rsidR="00C54E5A" w:rsidRPr="006D4822">
        <w:rPr>
          <w:rFonts w:eastAsia="標楷體" w:hint="eastAsia"/>
        </w:rPr>
        <w:t>四</w:t>
      </w:r>
      <w:r w:rsidRPr="006D4822">
        <w:rPr>
          <w:rFonts w:eastAsia="標楷體"/>
        </w:rPr>
        <w:t>)</w:t>
      </w:r>
      <w:r w:rsidRPr="006D4822">
        <w:rPr>
          <w:rFonts w:eastAsia="標楷體"/>
        </w:rPr>
        <w:t>誘導民間主動投入：由於公正轉型最終希望能讓不同族群感受到公平公正，因此除政府投入經費外，主要國家也會透過基金形式提供補助或融資，提高社會各界的參與度。</w:t>
      </w:r>
    </w:p>
    <w:tbl>
      <w:tblPr>
        <w:tblW w:w="9639" w:type="dxa"/>
        <w:jc w:val="center"/>
        <w:tblCellMar>
          <w:left w:w="10" w:type="dxa"/>
          <w:right w:w="10" w:type="dxa"/>
        </w:tblCellMar>
        <w:tblLook w:val="04A0" w:firstRow="1" w:lastRow="0" w:firstColumn="1" w:lastColumn="0" w:noHBand="0" w:noVBand="1"/>
      </w:tblPr>
      <w:tblGrid>
        <w:gridCol w:w="850"/>
        <w:gridCol w:w="1757"/>
        <w:gridCol w:w="1758"/>
        <w:gridCol w:w="1758"/>
        <w:gridCol w:w="1758"/>
        <w:gridCol w:w="1758"/>
      </w:tblGrid>
      <w:tr w:rsidR="006D4822" w:rsidRPr="006D4822" w14:paraId="5C80393E" w14:textId="77777777">
        <w:trPr>
          <w:tblHeade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C4BA" w14:textId="77777777" w:rsidR="00D55BC0" w:rsidRPr="006D4822" w:rsidRDefault="00D55BC0" w:rsidP="00E5362D">
            <w:pPr>
              <w:spacing w:line="240" w:lineRule="atLeast"/>
              <w:textAlignment w:val="auto"/>
              <w:rPr>
                <w:rFonts w:eastAsia="標楷體"/>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1F3B5" w14:textId="77777777" w:rsidR="00D55BC0" w:rsidRPr="006D4822" w:rsidRDefault="00324557" w:rsidP="00E5362D">
            <w:pPr>
              <w:spacing w:line="240" w:lineRule="atLeast"/>
              <w:jc w:val="center"/>
              <w:textAlignment w:val="auto"/>
              <w:rPr>
                <w:rFonts w:eastAsia="標楷體"/>
              </w:rPr>
            </w:pPr>
            <w:r w:rsidRPr="006D4822">
              <w:rPr>
                <w:rFonts w:eastAsia="標楷體"/>
              </w:rPr>
              <w:t>歐盟</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F1BF3" w14:textId="77777777" w:rsidR="00D55BC0" w:rsidRPr="006D4822" w:rsidRDefault="00324557" w:rsidP="00E5362D">
            <w:pPr>
              <w:spacing w:line="240" w:lineRule="atLeast"/>
              <w:jc w:val="center"/>
              <w:textAlignment w:val="auto"/>
              <w:rPr>
                <w:rFonts w:eastAsia="標楷體"/>
              </w:rPr>
            </w:pPr>
            <w:r w:rsidRPr="006D4822">
              <w:rPr>
                <w:rFonts w:eastAsia="標楷體"/>
              </w:rPr>
              <w:t>西班牙</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03822" w14:textId="77777777" w:rsidR="00D55BC0" w:rsidRPr="006D4822" w:rsidRDefault="00324557" w:rsidP="00E5362D">
            <w:pPr>
              <w:spacing w:line="240" w:lineRule="atLeast"/>
              <w:jc w:val="center"/>
              <w:textAlignment w:val="auto"/>
              <w:rPr>
                <w:rFonts w:eastAsia="標楷體"/>
              </w:rPr>
            </w:pPr>
            <w:r w:rsidRPr="006D4822">
              <w:rPr>
                <w:rFonts w:eastAsia="標楷體"/>
              </w:rPr>
              <w:t>蘇格蘭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637C3" w14:textId="77777777" w:rsidR="00D55BC0" w:rsidRPr="006D4822" w:rsidRDefault="00324557" w:rsidP="00E5362D">
            <w:pPr>
              <w:spacing w:line="240" w:lineRule="atLeast"/>
              <w:jc w:val="center"/>
              <w:textAlignment w:val="auto"/>
              <w:rPr>
                <w:rFonts w:eastAsia="標楷體"/>
              </w:rPr>
            </w:pPr>
            <w:r w:rsidRPr="006D4822">
              <w:rPr>
                <w:rFonts w:eastAsia="標楷體"/>
              </w:rPr>
              <w:t>加拿大</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5EB4A" w14:textId="77777777" w:rsidR="00D55BC0" w:rsidRPr="006D4822" w:rsidRDefault="00324557" w:rsidP="00E5362D">
            <w:pPr>
              <w:spacing w:line="240" w:lineRule="atLeast"/>
              <w:jc w:val="center"/>
              <w:textAlignment w:val="auto"/>
              <w:rPr>
                <w:rFonts w:eastAsia="標楷體"/>
              </w:rPr>
            </w:pPr>
            <w:r w:rsidRPr="006D4822">
              <w:rPr>
                <w:rFonts w:eastAsia="標楷體"/>
              </w:rPr>
              <w:t>韓國</w:t>
            </w:r>
          </w:p>
        </w:tc>
      </w:tr>
      <w:tr w:rsidR="006D4822" w:rsidRPr="006D4822" w14:paraId="103229A7" w14:textId="77777777">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0E4AD" w14:textId="77777777" w:rsidR="00D55BC0" w:rsidRPr="006D4822" w:rsidRDefault="00324557" w:rsidP="00E5362D">
            <w:pPr>
              <w:spacing w:line="240" w:lineRule="atLeast"/>
              <w:jc w:val="center"/>
              <w:textAlignment w:val="auto"/>
              <w:rPr>
                <w:rFonts w:eastAsia="標楷體"/>
              </w:rPr>
            </w:pPr>
            <w:r w:rsidRPr="006D4822">
              <w:rPr>
                <w:rFonts w:eastAsia="標楷體"/>
              </w:rPr>
              <w:t>法源依據</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1A2EF" w14:textId="77777777" w:rsidR="00D55BC0" w:rsidRPr="006D4822" w:rsidRDefault="00324557" w:rsidP="00E5362D">
            <w:pPr>
              <w:spacing w:line="240" w:lineRule="atLeast"/>
              <w:jc w:val="both"/>
              <w:textAlignment w:val="auto"/>
              <w:rPr>
                <w:rFonts w:eastAsia="標楷體"/>
              </w:rPr>
            </w:pPr>
            <w:r w:rsidRPr="006D4822">
              <w:rPr>
                <w:rFonts w:eastAsia="標楷體"/>
              </w:rPr>
              <w:t>綠色政綱</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5562" w14:textId="77777777" w:rsidR="00D55BC0" w:rsidRPr="006D4822" w:rsidRDefault="00324557" w:rsidP="00E5362D">
            <w:pPr>
              <w:spacing w:line="240" w:lineRule="atLeast"/>
              <w:jc w:val="both"/>
              <w:textAlignment w:val="auto"/>
              <w:rPr>
                <w:rFonts w:eastAsia="標楷體"/>
              </w:rPr>
            </w:pPr>
            <w:r w:rsidRPr="006D4822">
              <w:rPr>
                <w:rFonts w:eastAsia="標楷體"/>
              </w:rPr>
              <w:t>氣候變遷與能源轉型法</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C7109" w14:textId="77777777" w:rsidR="00D55BC0" w:rsidRPr="006D4822" w:rsidRDefault="00324557" w:rsidP="00E5362D">
            <w:pPr>
              <w:spacing w:line="240" w:lineRule="atLeast"/>
              <w:jc w:val="both"/>
              <w:textAlignment w:val="auto"/>
              <w:rPr>
                <w:rFonts w:eastAsia="標楷體"/>
              </w:rPr>
            </w:pPr>
            <w:r w:rsidRPr="006D4822">
              <w:rPr>
                <w:rFonts w:eastAsia="標楷體"/>
              </w:rPr>
              <w:t>蘇格蘭氣候變遷法</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93758" w14:textId="77777777" w:rsidR="00D55BC0" w:rsidRPr="006D4822" w:rsidRDefault="00324557" w:rsidP="00E5362D">
            <w:pPr>
              <w:spacing w:line="240" w:lineRule="atLeast"/>
              <w:jc w:val="both"/>
              <w:textAlignment w:val="auto"/>
              <w:rPr>
                <w:rFonts w:eastAsia="標楷體"/>
              </w:rPr>
            </w:pPr>
            <w:r w:rsidRPr="006D4822">
              <w:rPr>
                <w:rFonts w:eastAsia="標楷體"/>
              </w:rPr>
              <w:t>專法</w:t>
            </w:r>
            <w:proofErr w:type="gramStart"/>
            <w:r w:rsidRPr="006D4822">
              <w:rPr>
                <w:rFonts w:eastAsia="標楷體"/>
              </w:rPr>
              <w:t>研</w:t>
            </w:r>
            <w:proofErr w:type="gramEnd"/>
            <w:r w:rsidRPr="006D4822">
              <w:rPr>
                <w:rFonts w:eastAsia="標楷體"/>
              </w:rPr>
              <w:t>議中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F2FA" w14:textId="77777777" w:rsidR="00D55BC0" w:rsidRPr="006D4822" w:rsidRDefault="00324557" w:rsidP="00E5362D">
            <w:pPr>
              <w:spacing w:line="240" w:lineRule="atLeast"/>
              <w:jc w:val="both"/>
              <w:textAlignment w:val="auto"/>
              <w:rPr>
                <w:rFonts w:eastAsia="標楷體"/>
              </w:rPr>
            </w:pPr>
            <w:r w:rsidRPr="006D4822">
              <w:rPr>
                <w:rFonts w:eastAsia="標楷體"/>
              </w:rPr>
              <w:t>碳中和基本法</w:t>
            </w:r>
          </w:p>
        </w:tc>
      </w:tr>
      <w:tr w:rsidR="006D4822" w:rsidRPr="006D4822" w14:paraId="1550CDAB" w14:textId="77777777">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4B46C" w14:textId="77777777" w:rsidR="00D55BC0" w:rsidRPr="006D4822" w:rsidRDefault="00324557" w:rsidP="00E5362D">
            <w:pPr>
              <w:spacing w:line="240" w:lineRule="atLeast"/>
              <w:jc w:val="center"/>
              <w:textAlignment w:val="auto"/>
              <w:rPr>
                <w:rFonts w:eastAsia="標楷體"/>
              </w:rPr>
            </w:pPr>
            <w:r w:rsidRPr="006D4822">
              <w:rPr>
                <w:rFonts w:eastAsia="標楷體"/>
              </w:rPr>
              <w:t>主責單位</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A7B62" w14:textId="77777777" w:rsidR="00D55BC0" w:rsidRPr="006D4822" w:rsidRDefault="00324557" w:rsidP="00E5362D">
            <w:pPr>
              <w:spacing w:line="240" w:lineRule="atLeast"/>
              <w:jc w:val="both"/>
              <w:textAlignment w:val="auto"/>
              <w:rPr>
                <w:rFonts w:eastAsia="標楷體"/>
              </w:rPr>
            </w:pPr>
            <w:r w:rsidRPr="006D4822">
              <w:rPr>
                <w:rFonts w:eastAsia="標楷體"/>
              </w:rPr>
              <w:t>歐盟執行委員會</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C4B06" w14:textId="77777777" w:rsidR="00D55BC0" w:rsidRPr="006D4822" w:rsidRDefault="00324557" w:rsidP="00E5362D">
            <w:pPr>
              <w:spacing w:line="240" w:lineRule="atLeast"/>
              <w:jc w:val="both"/>
              <w:textAlignment w:val="auto"/>
              <w:rPr>
                <w:rFonts w:eastAsia="標楷體"/>
              </w:rPr>
            </w:pPr>
            <w:r w:rsidRPr="006D4822">
              <w:rPr>
                <w:rFonts w:eastAsia="標楷體"/>
              </w:rPr>
              <w:t>現有部會</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6F8BA" w14:textId="77777777" w:rsidR="00D55BC0" w:rsidRPr="006D4822" w:rsidRDefault="00324557" w:rsidP="00E5362D">
            <w:pPr>
              <w:spacing w:line="240" w:lineRule="atLeast"/>
              <w:jc w:val="both"/>
              <w:textAlignment w:val="auto"/>
              <w:rPr>
                <w:rFonts w:eastAsia="標楷體"/>
              </w:rPr>
            </w:pPr>
            <w:r w:rsidRPr="006D4822">
              <w:rPr>
                <w:rFonts w:eastAsia="標楷體"/>
              </w:rPr>
              <w:t>規劃新專責部會</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BF5A" w14:textId="77777777" w:rsidR="00D55BC0" w:rsidRPr="006D4822" w:rsidRDefault="00324557" w:rsidP="00E5362D">
            <w:pPr>
              <w:spacing w:line="240" w:lineRule="atLeast"/>
              <w:jc w:val="center"/>
              <w:textAlignment w:val="auto"/>
              <w:rPr>
                <w:rFonts w:eastAsia="標楷體"/>
              </w:rPr>
            </w:pPr>
            <w:r w:rsidRPr="006D4822">
              <w:rPr>
                <w:rFonts w:eastAsia="標楷體"/>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9B9FD" w14:textId="77777777" w:rsidR="00D55BC0" w:rsidRPr="006D4822" w:rsidRDefault="00324557" w:rsidP="00E5362D">
            <w:pPr>
              <w:spacing w:line="240" w:lineRule="atLeast"/>
              <w:jc w:val="both"/>
              <w:textAlignment w:val="auto"/>
              <w:rPr>
                <w:rFonts w:eastAsia="標楷體"/>
              </w:rPr>
            </w:pPr>
            <w:r w:rsidRPr="006D4822">
              <w:rPr>
                <w:rFonts w:eastAsia="標楷體"/>
              </w:rPr>
              <w:t>規劃新專責部會</w:t>
            </w:r>
          </w:p>
        </w:tc>
      </w:tr>
      <w:tr w:rsidR="006D4822" w:rsidRPr="006D4822" w14:paraId="3D5AEC8D" w14:textId="77777777">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ED9C8" w14:textId="77777777" w:rsidR="00D55BC0" w:rsidRPr="006D4822" w:rsidRDefault="00324557" w:rsidP="00E5362D">
            <w:pPr>
              <w:spacing w:line="240" w:lineRule="atLeast"/>
              <w:jc w:val="center"/>
              <w:textAlignment w:val="auto"/>
              <w:rPr>
                <w:rFonts w:eastAsia="標楷體"/>
              </w:rPr>
            </w:pPr>
            <w:r w:rsidRPr="006D4822">
              <w:rPr>
                <w:rFonts w:eastAsia="標楷體"/>
              </w:rPr>
              <w:t>資金來源</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5C47F" w14:textId="77777777" w:rsidR="00D55BC0" w:rsidRPr="006D4822" w:rsidRDefault="00324557" w:rsidP="00E5362D">
            <w:pPr>
              <w:spacing w:line="240" w:lineRule="atLeast"/>
              <w:textAlignment w:val="auto"/>
              <w:rPr>
                <w:rFonts w:eastAsia="標楷體"/>
              </w:rPr>
            </w:pPr>
            <w:proofErr w:type="spellStart"/>
            <w:r w:rsidRPr="006D4822">
              <w:rPr>
                <w:rFonts w:eastAsia="標楷體"/>
              </w:rPr>
              <w:t>InvestEU</w:t>
            </w:r>
            <w:proofErr w:type="spellEnd"/>
            <w:r w:rsidRPr="006D4822">
              <w:rPr>
                <w:rFonts w:eastAsia="標楷體"/>
              </w:rPr>
              <w:t>、公正轉型基金、歐洲投資銀行</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F2C3" w14:textId="77777777" w:rsidR="00D55BC0" w:rsidRPr="006D4822" w:rsidRDefault="00324557" w:rsidP="00E5362D">
            <w:pPr>
              <w:spacing w:line="240" w:lineRule="atLeast"/>
              <w:jc w:val="both"/>
              <w:textAlignment w:val="auto"/>
              <w:rPr>
                <w:rFonts w:eastAsia="標楷體"/>
              </w:rPr>
            </w:pPr>
            <w:r w:rsidRPr="006D4822">
              <w:rPr>
                <w:rFonts w:eastAsia="標楷體"/>
              </w:rPr>
              <w:t>歐盟、本國中央及地方政府</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0E647" w14:textId="77777777" w:rsidR="00D55BC0" w:rsidRPr="006D4822" w:rsidRDefault="00324557" w:rsidP="00E5362D">
            <w:pPr>
              <w:spacing w:line="240" w:lineRule="atLeast"/>
              <w:jc w:val="both"/>
              <w:textAlignment w:val="auto"/>
              <w:rPr>
                <w:rFonts w:eastAsia="標楷體"/>
              </w:rPr>
            </w:pPr>
            <w:r w:rsidRPr="006D4822">
              <w:rPr>
                <w:rFonts w:eastAsia="標楷體"/>
              </w:rPr>
              <w:t>蘇格蘭政府、蘇格蘭國家投資銀行</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F030E" w14:textId="77777777" w:rsidR="00D55BC0" w:rsidRPr="006D4822" w:rsidRDefault="00324557" w:rsidP="00E5362D">
            <w:pPr>
              <w:spacing w:line="240" w:lineRule="atLeast"/>
              <w:jc w:val="center"/>
              <w:textAlignment w:val="auto"/>
              <w:rPr>
                <w:rFonts w:eastAsia="標楷體"/>
              </w:rPr>
            </w:pPr>
            <w:r w:rsidRPr="006D4822">
              <w:rPr>
                <w:rFonts w:eastAsia="標楷體"/>
              </w:rPr>
              <w:t>規劃中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4F655" w14:textId="77777777" w:rsidR="00D55BC0" w:rsidRPr="006D4822" w:rsidRDefault="00324557" w:rsidP="00E5362D">
            <w:pPr>
              <w:spacing w:line="240" w:lineRule="atLeast"/>
              <w:jc w:val="center"/>
              <w:textAlignment w:val="auto"/>
              <w:rPr>
                <w:rFonts w:eastAsia="標楷體"/>
              </w:rPr>
            </w:pPr>
            <w:r w:rsidRPr="006D4822">
              <w:rPr>
                <w:rFonts w:eastAsia="標楷體"/>
              </w:rPr>
              <w:t>中央政府</w:t>
            </w:r>
          </w:p>
        </w:tc>
      </w:tr>
      <w:tr w:rsidR="006D4822" w:rsidRPr="006D4822" w14:paraId="523E67E1" w14:textId="77777777">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1B69C" w14:textId="77777777" w:rsidR="00D55BC0" w:rsidRPr="006D4822" w:rsidRDefault="00324557" w:rsidP="00E5362D">
            <w:pPr>
              <w:spacing w:line="240" w:lineRule="atLeast"/>
              <w:jc w:val="center"/>
              <w:textAlignment w:val="auto"/>
              <w:rPr>
                <w:rFonts w:eastAsia="標楷體"/>
              </w:rPr>
            </w:pPr>
            <w:r w:rsidRPr="006D4822">
              <w:rPr>
                <w:rFonts w:eastAsia="標楷體"/>
              </w:rPr>
              <w:t>中央盤點機制</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77342" w14:textId="77777777" w:rsidR="00D55BC0" w:rsidRPr="006D4822" w:rsidRDefault="00324557" w:rsidP="00E5362D">
            <w:pPr>
              <w:spacing w:line="240" w:lineRule="atLeast"/>
              <w:jc w:val="center"/>
              <w:textAlignment w:val="auto"/>
              <w:rPr>
                <w:rFonts w:eastAsia="標楷體"/>
              </w:rPr>
            </w:pPr>
            <w:r w:rsidRPr="006D4822">
              <w:rPr>
                <w:rFonts w:eastAsia="標楷體"/>
              </w:rPr>
              <w:t>任務性盤點</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D9D19" w14:textId="77777777" w:rsidR="00D55BC0" w:rsidRPr="006D4822" w:rsidRDefault="00324557" w:rsidP="00E5362D">
            <w:pPr>
              <w:spacing w:line="240" w:lineRule="atLeast"/>
              <w:jc w:val="both"/>
              <w:textAlignment w:val="auto"/>
              <w:rPr>
                <w:rFonts w:eastAsia="標楷體"/>
              </w:rPr>
            </w:pPr>
            <w:r w:rsidRPr="006D4822">
              <w:rPr>
                <w:rFonts w:eastAsia="標楷體"/>
              </w:rPr>
              <w:t>常態性盤點：每</w:t>
            </w:r>
            <w:r w:rsidRPr="006D4822">
              <w:rPr>
                <w:rFonts w:eastAsia="標楷體"/>
              </w:rPr>
              <w:t>5</w:t>
            </w:r>
            <w:r w:rsidRPr="006D4822">
              <w:rPr>
                <w:rFonts w:eastAsia="標楷體"/>
              </w:rPr>
              <w:t>年提出公正轉型策略</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06DB3" w14:textId="77777777" w:rsidR="00D55BC0" w:rsidRPr="006D4822" w:rsidRDefault="00324557" w:rsidP="00E5362D">
            <w:pPr>
              <w:spacing w:line="240" w:lineRule="atLeast"/>
              <w:jc w:val="center"/>
              <w:textAlignment w:val="auto"/>
              <w:rPr>
                <w:rFonts w:eastAsia="標楷體"/>
              </w:rPr>
            </w:pPr>
            <w:r w:rsidRPr="006D4822">
              <w:rPr>
                <w:rFonts w:eastAsia="標楷體"/>
              </w:rPr>
              <w:t>任務性盤點</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D268C" w14:textId="77777777" w:rsidR="00D55BC0" w:rsidRPr="006D4822" w:rsidRDefault="00324557" w:rsidP="00E5362D">
            <w:pPr>
              <w:spacing w:line="240" w:lineRule="atLeast"/>
              <w:jc w:val="both"/>
              <w:textAlignment w:val="auto"/>
              <w:rPr>
                <w:rFonts w:eastAsia="標楷體"/>
              </w:rPr>
            </w:pPr>
            <w:r w:rsidRPr="006D4822">
              <w:rPr>
                <w:rFonts w:eastAsia="標楷體"/>
              </w:rPr>
              <w:t>工作小組</w:t>
            </w:r>
            <w:r w:rsidRPr="006D4822">
              <w:rPr>
                <w:rFonts w:eastAsia="標楷體"/>
              </w:rPr>
              <w:t>(2018</w:t>
            </w:r>
            <w:r w:rsidRPr="006D4822">
              <w:rPr>
                <w:rFonts w:eastAsia="標楷體"/>
              </w:rPr>
              <w:t>年針對煤礦業進行前期調查</w:t>
            </w:r>
            <w:r w:rsidRPr="006D4822">
              <w:rPr>
                <w:rFonts w:eastAsia="標楷體"/>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C9D60" w14:textId="77777777" w:rsidR="00D55BC0" w:rsidRPr="006D4822" w:rsidRDefault="00324557" w:rsidP="00E5362D">
            <w:pPr>
              <w:spacing w:line="240" w:lineRule="atLeast"/>
              <w:jc w:val="center"/>
              <w:textAlignment w:val="auto"/>
              <w:rPr>
                <w:rFonts w:eastAsia="標楷體"/>
              </w:rPr>
            </w:pPr>
            <w:r w:rsidRPr="006D4822">
              <w:rPr>
                <w:rFonts w:eastAsia="標楷體"/>
              </w:rPr>
              <w:t>任務性盤點</w:t>
            </w:r>
          </w:p>
        </w:tc>
      </w:tr>
      <w:tr w:rsidR="006D4822" w:rsidRPr="006D4822" w14:paraId="2A102382" w14:textId="77777777">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41441" w14:textId="77777777" w:rsidR="00D55BC0" w:rsidRPr="006D4822" w:rsidRDefault="00324557" w:rsidP="00E5362D">
            <w:pPr>
              <w:spacing w:line="240" w:lineRule="atLeast"/>
              <w:jc w:val="center"/>
              <w:textAlignment w:val="auto"/>
              <w:rPr>
                <w:rFonts w:eastAsia="標楷體"/>
              </w:rPr>
            </w:pPr>
            <w:r w:rsidRPr="006D4822">
              <w:rPr>
                <w:rFonts w:eastAsia="標楷體"/>
              </w:rPr>
              <w:t>地方合作機制</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9E292" w14:textId="77777777" w:rsidR="00D55BC0" w:rsidRPr="006D4822" w:rsidRDefault="00324557" w:rsidP="00E5362D">
            <w:pPr>
              <w:spacing w:line="240" w:lineRule="atLeast"/>
              <w:jc w:val="both"/>
              <w:textAlignment w:val="auto"/>
              <w:rPr>
                <w:rFonts w:eastAsia="標楷體"/>
              </w:rPr>
            </w:pPr>
            <w:r w:rsidRPr="006D4822">
              <w:rPr>
                <w:rFonts w:eastAsia="標楷體"/>
              </w:rPr>
              <w:t>符合資格之國家</w:t>
            </w:r>
            <w:r w:rsidRPr="006D4822">
              <w:rPr>
                <w:rFonts w:eastAsia="標楷體"/>
              </w:rPr>
              <w:t>/</w:t>
            </w:r>
            <w:r w:rsidRPr="006D4822">
              <w:rPr>
                <w:rFonts w:eastAsia="標楷體"/>
              </w:rPr>
              <w:t>地方政府向歐盟提案，由放款單位審核</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5D686" w14:textId="77777777" w:rsidR="00D55BC0" w:rsidRPr="006D4822" w:rsidRDefault="00324557" w:rsidP="00E5362D">
            <w:pPr>
              <w:spacing w:line="240" w:lineRule="atLeast"/>
              <w:jc w:val="both"/>
              <w:textAlignment w:val="auto"/>
              <w:rPr>
                <w:rFonts w:eastAsia="標楷體"/>
              </w:rPr>
            </w:pPr>
            <w:r w:rsidRPr="006D4822">
              <w:rPr>
                <w:rFonts w:eastAsia="標楷體"/>
              </w:rPr>
              <w:t>地方政府</w:t>
            </w:r>
            <w:proofErr w:type="gramStart"/>
            <w:r w:rsidRPr="006D4822">
              <w:rPr>
                <w:rFonts w:eastAsia="標楷體"/>
              </w:rPr>
              <w:t>研</w:t>
            </w:r>
            <w:proofErr w:type="gramEnd"/>
            <w:r w:rsidRPr="006D4822">
              <w:rPr>
                <w:rFonts w:eastAsia="標楷體"/>
              </w:rPr>
              <w:t>提區域發展計畫，與中央政府簽訂公正轉型協議</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3CA90" w14:textId="77777777" w:rsidR="00D55BC0" w:rsidRPr="006D4822" w:rsidRDefault="00324557" w:rsidP="00E5362D">
            <w:pPr>
              <w:spacing w:line="240" w:lineRule="atLeast"/>
              <w:jc w:val="center"/>
              <w:textAlignment w:val="auto"/>
              <w:rPr>
                <w:rFonts w:eastAsia="標楷體"/>
              </w:rPr>
            </w:pPr>
            <w:r w:rsidRPr="006D4822">
              <w:rPr>
                <w:rFonts w:eastAsia="標楷體"/>
              </w:rPr>
              <w:t>規劃中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EE822" w14:textId="77777777" w:rsidR="00D55BC0" w:rsidRPr="006D4822" w:rsidRDefault="00324557" w:rsidP="00E5362D">
            <w:pPr>
              <w:spacing w:line="240" w:lineRule="atLeast"/>
              <w:jc w:val="center"/>
              <w:textAlignment w:val="auto"/>
              <w:rPr>
                <w:rFonts w:eastAsia="標楷體"/>
              </w:rPr>
            </w:pPr>
            <w:r w:rsidRPr="006D4822">
              <w:rPr>
                <w:rFonts w:eastAsia="標楷體"/>
              </w:rPr>
              <w:t>規劃中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C1074" w14:textId="77777777" w:rsidR="00D55BC0" w:rsidRPr="006D4822" w:rsidRDefault="00324557" w:rsidP="00E5362D">
            <w:pPr>
              <w:spacing w:line="240" w:lineRule="atLeast"/>
              <w:jc w:val="center"/>
              <w:textAlignment w:val="auto"/>
              <w:rPr>
                <w:rFonts w:eastAsia="標楷體"/>
              </w:rPr>
            </w:pPr>
            <w:r w:rsidRPr="006D4822">
              <w:rPr>
                <w:rFonts w:eastAsia="標楷體"/>
              </w:rPr>
              <w:t>規劃中</w:t>
            </w:r>
          </w:p>
        </w:tc>
      </w:tr>
    </w:tbl>
    <w:p w14:paraId="482F053F" w14:textId="77777777" w:rsidR="00D55BC0" w:rsidRPr="006D4822" w:rsidRDefault="00324557" w:rsidP="00E5362D">
      <w:pPr>
        <w:spacing w:line="240" w:lineRule="atLeast"/>
        <w:jc w:val="center"/>
        <w:rPr>
          <w:rFonts w:eastAsia="標楷體"/>
        </w:rPr>
      </w:pPr>
      <w:r w:rsidRPr="006D4822">
        <w:rPr>
          <w:rFonts w:eastAsia="標楷體"/>
        </w:rPr>
        <w:t>資料來源：陳立衡</w:t>
      </w:r>
      <w:r w:rsidRPr="006D4822">
        <w:rPr>
          <w:rFonts w:eastAsia="標楷體"/>
        </w:rPr>
        <w:t>(2022)</w:t>
      </w:r>
    </w:p>
    <w:p w14:paraId="4EE9259E" w14:textId="77777777" w:rsidR="00D55BC0" w:rsidRPr="006D4822" w:rsidRDefault="00324557" w:rsidP="00E5362D">
      <w:pPr>
        <w:spacing w:line="240" w:lineRule="atLeast"/>
        <w:ind w:firstLine="480"/>
        <w:jc w:val="both"/>
      </w:pPr>
      <w:r w:rsidRPr="006D4822">
        <w:rPr>
          <w:rFonts w:eastAsia="標楷體"/>
        </w:rPr>
        <w:t>我國</w:t>
      </w:r>
      <w:proofErr w:type="gramStart"/>
      <w:r w:rsidRPr="006D4822">
        <w:rPr>
          <w:rFonts w:eastAsia="標楷體"/>
        </w:rPr>
        <w:t>國</w:t>
      </w:r>
      <w:proofErr w:type="gramEnd"/>
      <w:r w:rsidRPr="006D4822">
        <w:rPr>
          <w:rFonts w:eastAsia="標楷體"/>
        </w:rPr>
        <w:t>發會於「臺灣</w:t>
      </w:r>
      <w:r w:rsidRPr="006D4822">
        <w:rPr>
          <w:rFonts w:eastAsia="標楷體"/>
        </w:rPr>
        <w:t>2050</w:t>
      </w:r>
      <w:proofErr w:type="gramStart"/>
      <w:r w:rsidRPr="006D4822">
        <w:rPr>
          <w:rFonts w:eastAsia="標楷體"/>
        </w:rPr>
        <w:t>淨零排放</w:t>
      </w:r>
      <w:proofErr w:type="gramEnd"/>
      <w:r w:rsidRPr="006D4822">
        <w:rPr>
          <w:rFonts w:eastAsia="標楷體"/>
        </w:rPr>
        <w:t>路徑及策略總說明」，提及了公正轉型的理念，主要期望於轉型過程中能兼顧社會包容</w:t>
      </w:r>
      <w:r w:rsidRPr="006D4822">
        <w:rPr>
          <w:rFonts w:eastAsia="標楷體"/>
        </w:rPr>
        <w:t>(inclusiveness)</w:t>
      </w:r>
      <w:r w:rsidRPr="006D4822">
        <w:rPr>
          <w:rFonts w:eastAsia="標楷體"/>
        </w:rPr>
        <w:t>與資源分配的精神，因此如何辨識轉型過程中的衝突及爭議，以及精進相關處理機制，成為我國現階段重要課題。</w:t>
      </w:r>
    </w:p>
    <w:p w14:paraId="6154EF2B" w14:textId="77777777" w:rsidR="00D55BC0" w:rsidRPr="006D4822" w:rsidRDefault="00324557" w:rsidP="00E5362D">
      <w:pPr>
        <w:spacing w:line="240" w:lineRule="atLeast"/>
        <w:ind w:firstLine="480"/>
        <w:jc w:val="both"/>
      </w:pPr>
      <w:r w:rsidRPr="006D4822">
        <w:rPr>
          <w:rFonts w:eastAsia="標楷體"/>
        </w:rPr>
        <w:t>借鏡</w:t>
      </w:r>
      <w:r w:rsidRPr="006D4822">
        <w:rPr>
          <w:rFonts w:eastAsia="標楷體"/>
        </w:rPr>
        <w:t>Rising</w:t>
      </w:r>
      <w:r w:rsidRPr="006D4822">
        <w:rPr>
          <w:rFonts w:eastAsia="標楷體"/>
        </w:rPr>
        <w:t>等人</w:t>
      </w:r>
      <w:r w:rsidRPr="006D4822">
        <w:rPr>
          <w:rFonts w:eastAsia="標楷體"/>
        </w:rPr>
        <w:t>(2021)</w:t>
      </w:r>
      <w:r w:rsidRPr="006D4822">
        <w:rPr>
          <w:rFonts w:eastAsia="標楷體"/>
        </w:rPr>
        <w:t>研究英國</w:t>
      </w:r>
      <w:r w:rsidRPr="006D4822">
        <w:rPr>
          <w:rFonts w:eastAsia="標楷體"/>
        </w:rPr>
        <w:t>40</w:t>
      </w:r>
      <w:r w:rsidRPr="006D4822">
        <w:rPr>
          <w:rFonts w:eastAsia="標楷體"/>
        </w:rPr>
        <w:t>年公正轉型政策所歸納經驗，建立包容性的重要前提是考量各方重要關係人的需求，主要包括：</w:t>
      </w:r>
      <w:r w:rsidRPr="006D4822">
        <w:rPr>
          <w:rFonts w:eastAsia="標楷體"/>
        </w:rPr>
        <w:t>(</w:t>
      </w:r>
      <w:proofErr w:type="gramStart"/>
      <w:r w:rsidRPr="006D4822">
        <w:rPr>
          <w:rFonts w:eastAsia="標楷體"/>
        </w:rPr>
        <w:t>一</w:t>
      </w:r>
      <w:proofErr w:type="gramEnd"/>
      <w:r w:rsidRPr="006D4822">
        <w:rPr>
          <w:rFonts w:eastAsia="標楷體"/>
        </w:rPr>
        <w:t>)</w:t>
      </w:r>
      <w:r w:rsidRPr="006D4822">
        <w:rPr>
          <w:rFonts w:eastAsia="標楷體"/>
        </w:rPr>
        <w:t>勞工層面：政策推動重點在於強化其在職場上就業自主能力，而非僅安插職務或給予津貼補助；</w:t>
      </w:r>
      <w:r w:rsidRPr="006D4822">
        <w:rPr>
          <w:rFonts w:eastAsia="標楷體"/>
        </w:rPr>
        <w:t>(</w:t>
      </w:r>
      <w:r w:rsidRPr="006D4822">
        <w:rPr>
          <w:rFonts w:eastAsia="標楷體"/>
        </w:rPr>
        <w:t>二</w:t>
      </w:r>
      <w:r w:rsidRPr="006D4822">
        <w:rPr>
          <w:rFonts w:eastAsia="標楷體"/>
        </w:rPr>
        <w:t>)</w:t>
      </w:r>
      <w:r w:rsidRPr="006D4822">
        <w:rPr>
          <w:rFonts w:eastAsia="標楷體"/>
        </w:rPr>
        <w:t>企業層面：可以加強協助與地區學</w:t>
      </w:r>
      <w:proofErr w:type="gramStart"/>
      <w:r w:rsidRPr="006D4822">
        <w:rPr>
          <w:rFonts w:eastAsia="標楷體"/>
        </w:rPr>
        <w:t>研</w:t>
      </w:r>
      <w:proofErr w:type="gramEnd"/>
      <w:r w:rsidRPr="006D4822">
        <w:rPr>
          <w:rFonts w:eastAsia="標楷體"/>
        </w:rPr>
        <w:t>機構建立合作關係，加速產業轉型；</w:t>
      </w:r>
      <w:r w:rsidRPr="006D4822">
        <w:rPr>
          <w:rFonts w:eastAsia="標楷體"/>
        </w:rPr>
        <w:t>(</w:t>
      </w:r>
      <w:r w:rsidRPr="006D4822">
        <w:rPr>
          <w:rFonts w:eastAsia="標楷體"/>
        </w:rPr>
        <w:t>三</w:t>
      </w:r>
      <w:r w:rsidRPr="006D4822">
        <w:rPr>
          <w:rFonts w:eastAsia="標楷體"/>
        </w:rPr>
        <w:t>)</w:t>
      </w:r>
      <w:r w:rsidRPr="006D4822">
        <w:rPr>
          <w:rFonts w:eastAsia="標楷體"/>
        </w:rPr>
        <w:t>區域發展層面：經濟政策方案應設定具體目標、具備長視野</w:t>
      </w:r>
      <w:r w:rsidRPr="006D4822">
        <w:rPr>
          <w:rFonts w:eastAsia="標楷體"/>
        </w:rPr>
        <w:t>(long horizon)</w:t>
      </w:r>
      <w:r w:rsidRPr="006D4822">
        <w:rPr>
          <w:rFonts w:eastAsia="標楷體"/>
        </w:rPr>
        <w:t>並兼容自下而上與自上而下的規劃方式，且也有賴各方關係人</w:t>
      </w:r>
      <w:r w:rsidRPr="006D4822">
        <w:rPr>
          <w:rFonts w:eastAsia="標楷體"/>
        </w:rPr>
        <w:t>(</w:t>
      </w:r>
      <w:r w:rsidRPr="006D4822">
        <w:rPr>
          <w:rFonts w:eastAsia="標楷體"/>
        </w:rPr>
        <w:t>企業、勞工、社區團體</w:t>
      </w:r>
      <w:r w:rsidRPr="006D4822">
        <w:rPr>
          <w:rFonts w:eastAsia="標楷體"/>
        </w:rPr>
        <w:t>)</w:t>
      </w:r>
      <w:r w:rsidRPr="006D4822">
        <w:rPr>
          <w:rFonts w:eastAsia="標楷體"/>
        </w:rPr>
        <w:t>協調、合作才能達成共識。</w:t>
      </w:r>
    </w:p>
    <w:p w14:paraId="12683D7C" w14:textId="476560D7" w:rsidR="00D55BC0" w:rsidRDefault="00324557" w:rsidP="00E5362D">
      <w:pPr>
        <w:spacing w:line="240" w:lineRule="atLeast"/>
        <w:ind w:firstLine="480"/>
        <w:jc w:val="both"/>
        <w:rPr>
          <w:rFonts w:eastAsia="標楷體"/>
        </w:rPr>
      </w:pPr>
      <w:proofErr w:type="gramStart"/>
      <w:r w:rsidRPr="006D4822">
        <w:rPr>
          <w:rFonts w:eastAsia="標楷體"/>
        </w:rPr>
        <w:t>淨零轉型</w:t>
      </w:r>
      <w:proofErr w:type="gramEnd"/>
      <w:r w:rsidRPr="006D4822">
        <w:rPr>
          <w:rFonts w:eastAsia="標楷體"/>
        </w:rPr>
        <w:t>是跨世代、跨領域、跨產業與跨部門的重大任務，對一個國家而言，不同族群社群、產業在面對氣候衝擊所能展現的韌性各有不同，對於能源轉型所造成改變的承受能力亦有所差異</w:t>
      </w:r>
      <w:r w:rsidR="00663CED" w:rsidRPr="006D4822">
        <w:rPr>
          <w:rFonts w:eastAsia="標楷體" w:hint="eastAsia"/>
        </w:rPr>
        <w:t>。</w:t>
      </w:r>
      <w:r w:rsidR="00E56540" w:rsidRPr="006D4822">
        <w:rPr>
          <w:rFonts w:eastAsia="標楷體" w:hint="eastAsia"/>
        </w:rPr>
        <w:t>因此，</w:t>
      </w:r>
      <w:r w:rsidRPr="006D4822">
        <w:rPr>
          <w:rFonts w:eastAsia="標楷體"/>
        </w:rPr>
        <w:t>公正轉型不只與科技、法制有所關係，亦是一場長時間、面向廣的重大社會改造工程</w:t>
      </w:r>
      <w:r w:rsidR="00663CED" w:rsidRPr="006D4822">
        <w:rPr>
          <w:rFonts w:eastAsia="標楷體" w:hint="eastAsia"/>
        </w:rPr>
        <w:t>，需要大家耐心以對</w:t>
      </w:r>
      <w:r w:rsidRPr="006D4822">
        <w:rPr>
          <w:rFonts w:eastAsia="標楷體"/>
        </w:rPr>
        <w:t>。</w:t>
      </w:r>
    </w:p>
    <w:p w14:paraId="440B7100" w14:textId="77777777" w:rsidR="00D55BC0" w:rsidRDefault="00D55BC0" w:rsidP="00E5362D">
      <w:pPr>
        <w:autoSpaceDE w:val="0"/>
        <w:snapToGrid w:val="0"/>
        <w:spacing w:line="240" w:lineRule="atLeast"/>
        <w:jc w:val="both"/>
        <w:rPr>
          <w:rFonts w:eastAsia="標楷體"/>
        </w:rPr>
      </w:pPr>
    </w:p>
    <w:p w14:paraId="05FAD443" w14:textId="77777777" w:rsidR="00D55BC0" w:rsidRDefault="00324557" w:rsidP="00E5362D">
      <w:pPr>
        <w:autoSpaceDE w:val="0"/>
        <w:snapToGrid w:val="0"/>
        <w:spacing w:line="240" w:lineRule="atLeast"/>
        <w:jc w:val="both"/>
        <w:rPr>
          <w:rFonts w:eastAsia="標楷體"/>
        </w:rPr>
      </w:pPr>
      <w:r>
        <w:rPr>
          <w:rFonts w:eastAsia="標楷體"/>
        </w:rPr>
        <w:t>參考資料：</w:t>
      </w:r>
    </w:p>
    <w:p w14:paraId="02ADB7DB" w14:textId="77777777" w:rsidR="00D55BC0" w:rsidRDefault="00324557" w:rsidP="00E5362D">
      <w:pPr>
        <w:pStyle w:val="aa"/>
        <w:numPr>
          <w:ilvl w:val="0"/>
          <w:numId w:val="4"/>
        </w:numPr>
        <w:suppressAutoHyphens w:val="0"/>
        <w:spacing w:line="240" w:lineRule="atLeast"/>
        <w:ind w:left="284" w:hanging="284"/>
        <w:jc w:val="both"/>
        <w:textAlignment w:val="auto"/>
        <w:rPr>
          <w:rFonts w:ascii="Times New Roman" w:eastAsia="標楷體" w:hAnsi="Times New Roman"/>
        </w:rPr>
      </w:pPr>
      <w:r>
        <w:rPr>
          <w:rFonts w:ascii="Times New Roman" w:eastAsia="標楷體" w:hAnsi="Times New Roman"/>
        </w:rPr>
        <w:t>陳立衡，</w:t>
      </w:r>
      <w:r>
        <w:rPr>
          <w:rFonts w:ascii="Times New Roman" w:eastAsia="標楷體" w:hAnsi="Times New Roman"/>
        </w:rPr>
        <w:t>2022</w:t>
      </w:r>
      <w:r>
        <w:rPr>
          <w:rFonts w:ascii="Times New Roman" w:eastAsia="標楷體" w:hAnsi="Times New Roman"/>
        </w:rPr>
        <w:t>，</w:t>
      </w:r>
      <w:proofErr w:type="gramStart"/>
      <w:r>
        <w:rPr>
          <w:rFonts w:ascii="Times New Roman" w:eastAsia="標楷體" w:hAnsi="Times New Roman"/>
        </w:rPr>
        <w:t>全球淨零趨勢</w:t>
      </w:r>
      <w:proofErr w:type="gramEnd"/>
      <w:r>
        <w:rPr>
          <w:rFonts w:ascii="Times New Roman" w:eastAsia="標楷體" w:hAnsi="Times New Roman"/>
        </w:rPr>
        <w:t>下的公正轉型發展，工業技術研究院</w:t>
      </w:r>
    </w:p>
    <w:p w14:paraId="5D72F1CC" w14:textId="77777777" w:rsidR="00D55BC0" w:rsidRDefault="00324557" w:rsidP="00E5362D">
      <w:pPr>
        <w:pStyle w:val="aa"/>
        <w:numPr>
          <w:ilvl w:val="0"/>
          <w:numId w:val="4"/>
        </w:numPr>
        <w:suppressAutoHyphens w:val="0"/>
        <w:spacing w:line="240" w:lineRule="atLeast"/>
        <w:ind w:left="284" w:hanging="284"/>
        <w:jc w:val="both"/>
        <w:textAlignment w:val="auto"/>
        <w:rPr>
          <w:rFonts w:ascii="Times New Roman" w:eastAsia="標楷體" w:hAnsi="Times New Roman"/>
        </w:rPr>
      </w:pPr>
      <w:proofErr w:type="spellStart"/>
      <w:r>
        <w:rPr>
          <w:rFonts w:ascii="Times New Roman" w:eastAsia="標楷體" w:hAnsi="Times New Roman"/>
        </w:rPr>
        <w:lastRenderedPageBreak/>
        <w:t>Atteridge</w:t>
      </w:r>
      <w:proofErr w:type="spellEnd"/>
      <w:r>
        <w:rPr>
          <w:rFonts w:ascii="Times New Roman" w:eastAsia="標楷體" w:hAnsi="Times New Roman"/>
        </w:rPr>
        <w:t xml:space="preserve">, A., &amp; </w:t>
      </w:r>
      <w:proofErr w:type="spellStart"/>
      <w:r>
        <w:rPr>
          <w:rFonts w:ascii="Times New Roman" w:eastAsia="標楷體" w:hAnsi="Times New Roman"/>
        </w:rPr>
        <w:t>Strambo</w:t>
      </w:r>
      <w:proofErr w:type="spellEnd"/>
      <w:r>
        <w:rPr>
          <w:rFonts w:ascii="Times New Roman" w:eastAsia="標楷體" w:hAnsi="Times New Roman"/>
        </w:rPr>
        <w:t>, C. (2020). Seven principles to realize a just transition to a low-carbon economy. Stockholm Environment Institute.</w:t>
      </w:r>
    </w:p>
    <w:p w14:paraId="1DB30385" w14:textId="77777777" w:rsidR="00D55BC0" w:rsidRDefault="00324557" w:rsidP="00E5362D">
      <w:pPr>
        <w:pStyle w:val="aa"/>
        <w:numPr>
          <w:ilvl w:val="0"/>
          <w:numId w:val="4"/>
        </w:numPr>
        <w:suppressAutoHyphens w:val="0"/>
        <w:spacing w:line="240" w:lineRule="atLeast"/>
        <w:ind w:left="284" w:hanging="284"/>
        <w:jc w:val="both"/>
        <w:textAlignment w:val="auto"/>
        <w:rPr>
          <w:rFonts w:ascii="Times New Roman" w:eastAsia="標楷體" w:hAnsi="Times New Roman"/>
        </w:rPr>
      </w:pPr>
      <w:r>
        <w:rPr>
          <w:rFonts w:ascii="Times New Roman" w:eastAsia="標楷體" w:hAnsi="Times New Roman"/>
        </w:rPr>
        <w:t>Just Transition Research Collaborative. (2018). Mapping Just Transition(s) to a low-carbon world, a report of the just transition research collaborative.</w:t>
      </w:r>
    </w:p>
    <w:p w14:paraId="779AB8B7" w14:textId="77777777" w:rsidR="00D55BC0" w:rsidRDefault="00324557" w:rsidP="00E5362D">
      <w:pPr>
        <w:pStyle w:val="aa"/>
        <w:numPr>
          <w:ilvl w:val="0"/>
          <w:numId w:val="4"/>
        </w:numPr>
        <w:suppressAutoHyphens w:val="0"/>
        <w:spacing w:line="240" w:lineRule="atLeast"/>
        <w:ind w:left="284" w:hanging="284"/>
        <w:jc w:val="both"/>
        <w:textAlignment w:val="auto"/>
        <w:rPr>
          <w:rFonts w:ascii="Times New Roman" w:eastAsia="標楷體" w:hAnsi="Times New Roman"/>
        </w:rPr>
      </w:pPr>
      <w:proofErr w:type="spellStart"/>
      <w:r>
        <w:rPr>
          <w:rFonts w:ascii="Times New Roman" w:eastAsia="標楷體" w:hAnsi="Times New Roman"/>
        </w:rPr>
        <w:t>Krawchenko</w:t>
      </w:r>
      <w:proofErr w:type="spellEnd"/>
      <w:r>
        <w:rPr>
          <w:rFonts w:ascii="Times New Roman" w:eastAsia="標楷體" w:hAnsi="Times New Roman"/>
        </w:rPr>
        <w:t>, T. A., &amp; Gordon, M. (2021). How Do We Manage a Just Transition? A Comparative Review of National and Regional Just Transition Initiatives. Sustainability, 13(11), 6070.</w:t>
      </w:r>
    </w:p>
    <w:p w14:paraId="05AD358D" w14:textId="77777777" w:rsidR="00D55BC0" w:rsidRDefault="00324557" w:rsidP="00E5362D">
      <w:pPr>
        <w:pStyle w:val="aa"/>
        <w:numPr>
          <w:ilvl w:val="0"/>
          <w:numId w:val="4"/>
        </w:numPr>
        <w:suppressAutoHyphens w:val="0"/>
        <w:spacing w:line="240" w:lineRule="atLeast"/>
        <w:ind w:left="284" w:hanging="284"/>
        <w:jc w:val="both"/>
        <w:textAlignment w:val="auto"/>
      </w:pPr>
      <w:r>
        <w:rPr>
          <w:rFonts w:ascii="Times New Roman" w:eastAsia="標楷體" w:hAnsi="Times New Roman"/>
        </w:rPr>
        <w:t>Rising, J., Dumas, M., Dicker, S., Propp, D., Robertson, M., &amp; Look, W. (2021). Regional Just Transitions in the UK: Insights from 40 Years of Policy Experience.</w:t>
      </w:r>
    </w:p>
    <w:p w14:paraId="60EC1971" w14:textId="77777777" w:rsidR="00D55BC0" w:rsidRDefault="00D55BC0">
      <w:pPr>
        <w:pBdr>
          <w:bottom w:val="single" w:sz="6" w:space="1" w:color="000000"/>
        </w:pBdr>
        <w:snapToGrid w:val="0"/>
        <w:spacing w:line="240" w:lineRule="atLeast"/>
        <w:jc w:val="both"/>
        <w:rPr>
          <w:rFonts w:eastAsia="標楷體"/>
          <w:bCs/>
          <w:sz w:val="26"/>
          <w:szCs w:val="26"/>
        </w:rPr>
      </w:pPr>
    </w:p>
    <w:p w14:paraId="5C98FF3B" w14:textId="77777777" w:rsidR="00D55BC0" w:rsidRDefault="00324557">
      <w:pPr>
        <w:snapToGrid w:val="0"/>
        <w:spacing w:line="240" w:lineRule="atLeast"/>
        <w:ind w:left="520" w:hanging="520"/>
      </w:pPr>
      <w:proofErr w:type="gramStart"/>
      <w:r>
        <w:rPr>
          <w:rFonts w:eastAsia="標楷體"/>
          <w:bCs/>
          <w:sz w:val="26"/>
          <w:szCs w:val="26"/>
        </w:rPr>
        <w:t>註</w:t>
      </w:r>
      <w:proofErr w:type="gramEnd"/>
      <w:r>
        <w:rPr>
          <w:rFonts w:eastAsia="標楷體"/>
          <w:bCs/>
          <w:sz w:val="26"/>
          <w:szCs w:val="26"/>
        </w:rPr>
        <w:t>：</w:t>
      </w:r>
      <w:r>
        <w:rPr>
          <w:rFonts w:eastAsia="標楷體"/>
          <w:bCs/>
          <w:sz w:val="26"/>
          <w:szCs w:val="26"/>
        </w:rPr>
        <w:t>1.</w:t>
      </w:r>
      <w:r>
        <w:rPr>
          <w:rFonts w:eastAsia="標楷體"/>
          <w:bCs/>
          <w:sz w:val="26"/>
          <w:szCs w:val="26"/>
        </w:rPr>
        <w:t>請計畫執行單位上傳提供較具策略性的知識物件，不限計畫執行有關內容。</w:t>
      </w:r>
      <w:r>
        <w:rPr>
          <w:rFonts w:eastAsia="標楷體"/>
          <w:bCs/>
          <w:sz w:val="26"/>
          <w:szCs w:val="26"/>
        </w:rPr>
        <w:br/>
        <w:t>2.</w:t>
      </w:r>
      <w:r>
        <w:rPr>
          <w:rFonts w:eastAsia="標楷體"/>
          <w:bCs/>
          <w:sz w:val="26"/>
          <w:szCs w:val="26"/>
        </w:rPr>
        <w:t>請計畫執行單位每季更新與上傳一次，另有新增政策建議可隨時上傳。</w:t>
      </w:r>
      <w:r>
        <w:rPr>
          <w:rFonts w:eastAsia="標楷體"/>
          <w:bCs/>
          <w:sz w:val="26"/>
          <w:szCs w:val="26"/>
        </w:rPr>
        <w:br/>
      </w:r>
      <w:r>
        <w:rPr>
          <w:rFonts w:eastAsia="標楷體"/>
          <w:b/>
          <w:bCs/>
          <w:sz w:val="26"/>
          <w:szCs w:val="26"/>
        </w:rPr>
        <w:t>3.</w:t>
      </w:r>
      <w:r>
        <w:rPr>
          <w:rFonts w:eastAsia="標楷體"/>
          <w:b/>
          <w:bCs/>
          <w:sz w:val="26"/>
          <w:szCs w:val="26"/>
        </w:rPr>
        <w:t>文字精要具體，量化數據盡量輔以圖表說明。</w:t>
      </w:r>
    </w:p>
    <w:sectPr w:rsidR="00D55BC0">
      <w:footerReference w:type="default" r:id="rId9"/>
      <w:pgSz w:w="11906" w:h="16838"/>
      <w:pgMar w:top="851" w:right="1134" w:bottom="851" w:left="1134" w:header="720" w:footer="283" w:gutter="0"/>
      <w:cols w:space="72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6418" w14:textId="77777777" w:rsidR="00F25367" w:rsidRDefault="00F25367">
      <w:r>
        <w:separator/>
      </w:r>
    </w:p>
  </w:endnote>
  <w:endnote w:type="continuationSeparator" w:id="0">
    <w:p w14:paraId="23154DA4" w14:textId="77777777" w:rsidR="00F25367" w:rsidRDefault="00F2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1086" w14:textId="77777777" w:rsidR="00036AED" w:rsidRDefault="00324557">
    <w:pPr>
      <w:pStyle w:val="a8"/>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14:paraId="1998C138" w14:textId="77777777" w:rsidR="00036AED"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EA49" w14:textId="77777777" w:rsidR="00F25367" w:rsidRDefault="00F25367">
      <w:r>
        <w:rPr>
          <w:color w:val="000000"/>
        </w:rPr>
        <w:separator/>
      </w:r>
    </w:p>
  </w:footnote>
  <w:footnote w:type="continuationSeparator" w:id="0">
    <w:p w14:paraId="77C88780" w14:textId="77777777" w:rsidR="00F25367" w:rsidRDefault="00F2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17A"/>
    <w:multiLevelType w:val="multilevel"/>
    <w:tmpl w:val="948C3452"/>
    <w:lvl w:ilvl="0">
      <w:numFmt w:val="bullet"/>
      <w:lvlText w:val=""/>
      <w:lvlJc w:val="left"/>
      <w:pPr>
        <w:ind w:left="7427"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B322768"/>
    <w:multiLevelType w:val="multilevel"/>
    <w:tmpl w:val="E74E3C7A"/>
    <w:lvl w:ilvl="0">
      <w:start w:val="1"/>
      <w:numFmt w:val="taiwaneseCountingThousand"/>
      <w:lvlText w:val="(%1)"/>
      <w:lvlJc w:val="left"/>
      <w:pPr>
        <w:ind w:left="683" w:hanging="400"/>
      </w:pPr>
      <w:rPr>
        <w:rFonts w:ascii="Times New Roman" w:eastAsia="標楷體" w:hAnsi="Times New Roman" w:cs="Times New Roman"/>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3A18620C"/>
    <w:multiLevelType w:val="multilevel"/>
    <w:tmpl w:val="3EA8257C"/>
    <w:lvl w:ilvl="0">
      <w:start w:val="1"/>
      <w:numFmt w:val="taiwaneseCountingThousand"/>
      <w:lvlText w:val="%1、"/>
      <w:lvlJc w:val="left"/>
      <w:pPr>
        <w:ind w:left="480" w:hanging="48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D3350BC"/>
    <w:multiLevelType w:val="multilevel"/>
    <w:tmpl w:val="09F08B82"/>
    <w:lvl w:ilvl="0">
      <w:start w:val="1"/>
      <w:numFmt w:val="decimal"/>
      <w:lvlText w:val="%1."/>
      <w:lvlJc w:val="left"/>
      <w:pPr>
        <w:ind w:left="480" w:hanging="480"/>
      </w:pPr>
      <w:rPr>
        <w:rFonts w:ascii="Times New Roman" w:eastAsia="標楷體" w:hAnsi="Times New Roman"/>
        <w:color w:val="000000"/>
        <w:sz w:val="24"/>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814763533">
    <w:abstractNumId w:val="2"/>
  </w:num>
  <w:num w:numId="2" w16cid:durableId="1242372539">
    <w:abstractNumId w:val="1"/>
  </w:num>
  <w:num w:numId="3" w16cid:durableId="1520578341">
    <w:abstractNumId w:val="0"/>
  </w:num>
  <w:num w:numId="4" w16cid:durableId="821239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C0"/>
    <w:rsid w:val="00004FC4"/>
    <w:rsid w:val="00324557"/>
    <w:rsid w:val="00332650"/>
    <w:rsid w:val="00565D1E"/>
    <w:rsid w:val="00663CED"/>
    <w:rsid w:val="006D4822"/>
    <w:rsid w:val="007239C9"/>
    <w:rsid w:val="0091412E"/>
    <w:rsid w:val="00976783"/>
    <w:rsid w:val="00C54E5A"/>
    <w:rsid w:val="00CA636D"/>
    <w:rsid w:val="00CF1017"/>
    <w:rsid w:val="00D55BC0"/>
    <w:rsid w:val="00E16A69"/>
    <w:rsid w:val="00E23927"/>
    <w:rsid w:val="00E5362D"/>
    <w:rsid w:val="00E56540"/>
    <w:rsid w:val="00F25367"/>
    <w:rsid w:val="00F55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A590"/>
  <w15:docId w15:val="{5C71B8F4-C38C-4E54-ADF1-D1924CB5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3">
    <w:name w:val="heading 3"/>
    <w:basedOn w:val="a"/>
    <w:uiPriority w:val="9"/>
    <w:semiHidden/>
    <w:unhideWhenUsed/>
    <w:qFormat/>
    <w:pPr>
      <w:widowControl/>
      <w:suppressAutoHyphens w:val="0"/>
      <w:spacing w:before="100" w:after="100"/>
      <w:textAlignment w:val="auto"/>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line="400" w:lineRule="exact"/>
      <w:ind w:firstLine="520"/>
      <w:jc w:val="both"/>
    </w:pPr>
    <w:rPr>
      <w:rFonts w:ascii="標楷體" w:eastAsia="標楷體" w:hAnsi="標楷體"/>
      <w:sz w:val="26"/>
      <w:szCs w:val="20"/>
    </w:rPr>
  </w:style>
  <w:style w:type="character" w:customStyle="1" w:styleId="a4">
    <w:name w:val="本文縮排 字元"/>
    <w:rPr>
      <w:rFonts w:ascii="標楷體" w:eastAsia="標楷體" w:hAnsi="標楷體"/>
      <w:kern w:val="3"/>
      <w:sz w:val="26"/>
      <w:lang w:val="en-US" w:eastAsia="zh-TW" w:bidi="ar-SA"/>
    </w:rPr>
  </w:style>
  <w:style w:type="character" w:styleId="a5">
    <w:name w:val="Strong"/>
    <w:rPr>
      <w:b/>
      <w:bC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List Paragraph"/>
    <w:basedOn w:val="a"/>
    <w:pPr>
      <w:ind w:left="480"/>
    </w:pPr>
    <w:rPr>
      <w:rFonts w:ascii="Calibri" w:hAnsi="Calibri"/>
      <w:szCs w:val="22"/>
    </w:rPr>
  </w:style>
  <w:style w:type="paragraph" w:styleId="Web">
    <w:name w:val="Normal (Web)"/>
    <w:basedOn w:val="a"/>
    <w:pPr>
      <w:widowControl/>
      <w:spacing w:before="100" w:after="100"/>
    </w:pPr>
    <w:rPr>
      <w:rFonts w:ascii="新細明體" w:hAnsi="新細明體" w:cs="新細明體"/>
      <w:kern w:val="0"/>
    </w:rPr>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 w:type="paragraph" w:styleId="ad">
    <w:name w:val="Revision"/>
    <w:pPr>
      <w:textAlignment w:val="auto"/>
    </w:pPr>
    <w:rPr>
      <w:kern w:val="3"/>
      <w:sz w:val="24"/>
      <w:szCs w:val="24"/>
    </w:rPr>
  </w:style>
  <w:style w:type="character" w:styleId="ae">
    <w:name w:val="Hyperlink"/>
    <w:basedOn w:val="a0"/>
    <w:rPr>
      <w:color w:val="0563C1"/>
      <w:u w:val="single"/>
    </w:rPr>
  </w:style>
  <w:style w:type="character" w:styleId="af">
    <w:name w:val="Unresolved Mention"/>
    <w:basedOn w:val="a0"/>
    <w:rPr>
      <w:color w:val="605E5C"/>
      <w:shd w:val="clear" w:color="auto" w:fill="E1DFDD"/>
    </w:rPr>
  </w:style>
  <w:style w:type="character" w:styleId="af0">
    <w:name w:val="FollowedHyperlink"/>
    <w:basedOn w:val="a0"/>
    <w:rPr>
      <w:color w:val="954F72"/>
      <w:u w:val="single"/>
    </w:rPr>
  </w:style>
  <w:style w:type="character" w:styleId="af1">
    <w:name w:val="Emphasis"/>
    <w:basedOn w:val="a0"/>
    <w:rPr>
      <w:i/>
      <w:iCs/>
    </w:rPr>
  </w:style>
  <w:style w:type="character" w:customStyle="1" w:styleId="30">
    <w:name w:val="標題 3 字元"/>
    <w:basedOn w:val="a0"/>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0A00-DCD4-48F0-93C3-F59AC54F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知識物件上傳表</dc:title>
  <dc:subject/>
  <dc:creator>itri</dc:creator>
  <cp:lastModifiedBy>楊芷瑜</cp:lastModifiedBy>
  <cp:revision>3</cp:revision>
  <cp:lastPrinted>2017-03-10T09:36:00Z</cp:lastPrinted>
  <dcterms:created xsi:type="dcterms:W3CDTF">2022-09-07T23:27:00Z</dcterms:created>
  <dcterms:modified xsi:type="dcterms:W3CDTF">2022-09-07T23:33:00Z</dcterms:modified>
</cp:coreProperties>
</file>